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274" w:rsidRPr="008C2274" w:rsidRDefault="008C2274" w:rsidP="008C2274">
      <w:pPr>
        <w:pStyle w:val="Titel"/>
        <w:ind w:left="567" w:right="2269"/>
        <w:rPr>
          <w:sz w:val="32"/>
          <w:szCs w:val="32"/>
          <w:lang w:val="en-US"/>
        </w:rPr>
      </w:pPr>
      <w:r w:rsidRPr="008C2274">
        <w:rPr>
          <w:sz w:val="32"/>
          <w:szCs w:val="32"/>
          <w:lang w:val="en-US"/>
        </w:rPr>
        <w:t>Instruction for the audit of grants concerning programs and projects financed by the Nordic Council of Ministers' budget</w:t>
      </w:r>
    </w:p>
    <w:p w:rsidR="008C2274" w:rsidRPr="008C2274" w:rsidRDefault="008C2274" w:rsidP="008C2274">
      <w:pPr>
        <w:spacing w:after="200" w:line="276" w:lineRule="auto"/>
        <w:rPr>
          <w:rFonts w:eastAsiaTheme="minorHAnsi" w:cstheme="minorBidi"/>
          <w:color w:val="4F81BD" w:themeColor="accent1"/>
          <w:spacing w:val="0"/>
          <w:szCs w:val="22"/>
          <w:lang w:val="en-US"/>
          <w14:numForm w14:val="default"/>
        </w:rPr>
      </w:pPr>
    </w:p>
    <w:p w:rsidR="008C2274" w:rsidRPr="005E16C4" w:rsidRDefault="008C2274" w:rsidP="008C2274">
      <w:pPr>
        <w:spacing w:line="276" w:lineRule="auto"/>
        <w:ind w:left="567" w:right="2269"/>
        <w:rPr>
          <w:color w:val="4F81BD" w:themeColor="accent1"/>
          <w:lang w:val="en-US"/>
        </w:rPr>
      </w:pPr>
      <w:r w:rsidRPr="005E16C4">
        <w:rPr>
          <w:color w:val="4F81BD" w:themeColor="accent1"/>
          <w:lang w:val="en-US"/>
        </w:rPr>
        <w:t>Audit instruction for audit of financial statements for project grants of DKK 200,000 or more financed by the Nordic Council of Ministers' budget.</w:t>
      </w:r>
    </w:p>
    <w:p w:rsidR="008C2274" w:rsidRPr="005E16C4" w:rsidRDefault="008C2274" w:rsidP="008C2274">
      <w:pPr>
        <w:spacing w:line="276" w:lineRule="auto"/>
        <w:ind w:left="567" w:right="2269"/>
        <w:rPr>
          <w:color w:val="4F81BD" w:themeColor="accent1"/>
          <w:lang w:val="en-US"/>
        </w:rPr>
      </w:pPr>
    </w:p>
    <w:p w:rsidR="008C2274" w:rsidRPr="008C2274" w:rsidRDefault="008C2274" w:rsidP="008C2274">
      <w:pPr>
        <w:spacing w:line="276" w:lineRule="auto"/>
        <w:ind w:left="567" w:right="2269"/>
        <w:rPr>
          <w:color w:val="4F81BD" w:themeColor="accent1"/>
          <w:lang w:val="en-US"/>
        </w:rPr>
      </w:pPr>
      <w:r w:rsidRPr="008C2274">
        <w:rPr>
          <w:color w:val="4F81BD" w:themeColor="accent1"/>
          <w:lang w:val="en-US"/>
        </w:rPr>
        <w:t>The authority to give instructions in the audit area is contained in the Economy Regulations of 3 March 2016 of the Nordic Council of Ministers.</w:t>
      </w:r>
    </w:p>
    <w:p w:rsidR="008C2274" w:rsidRPr="008C2274" w:rsidRDefault="008C2274" w:rsidP="008C2274">
      <w:pPr>
        <w:spacing w:line="276" w:lineRule="auto"/>
        <w:ind w:left="567" w:right="2269"/>
        <w:rPr>
          <w:color w:val="4F81BD" w:themeColor="accent1"/>
          <w:lang w:val="en-US"/>
        </w:rPr>
      </w:pPr>
    </w:p>
    <w:p w:rsidR="008C2274" w:rsidRPr="008C2274" w:rsidRDefault="008C2274" w:rsidP="008C2274">
      <w:pPr>
        <w:spacing w:line="276" w:lineRule="auto"/>
        <w:ind w:left="567" w:right="2269"/>
        <w:rPr>
          <w:color w:val="4F81BD" w:themeColor="accent1"/>
          <w:lang w:val="en-US"/>
        </w:rPr>
      </w:pPr>
      <w:r w:rsidRPr="008C2274">
        <w:rPr>
          <w:color w:val="4F81BD" w:themeColor="accent1"/>
          <w:lang w:val="en-US"/>
        </w:rPr>
        <w:t xml:space="preserve">The instruction does not apply to project grants given to beneficiaries of grants that are audited by the governmental National Audit Offices in the Nordic </w:t>
      </w:r>
      <w:bookmarkStart w:id="0" w:name="_GoBack"/>
      <w:bookmarkEnd w:id="0"/>
      <w:r w:rsidRPr="008C2274">
        <w:rPr>
          <w:color w:val="4F81BD" w:themeColor="accent1"/>
          <w:lang w:val="en-US"/>
        </w:rPr>
        <w:t>countries.</w:t>
      </w:r>
    </w:p>
    <w:p w:rsidR="008C2274" w:rsidRPr="005E16C4" w:rsidRDefault="008C2274" w:rsidP="008C2274">
      <w:pPr>
        <w:spacing w:line="276" w:lineRule="auto"/>
        <w:ind w:left="567" w:right="2269"/>
        <w:rPr>
          <w:color w:val="4F81BD" w:themeColor="accent1"/>
          <w:lang w:val="en-US"/>
        </w:rPr>
      </w:pPr>
    </w:p>
    <w:p w:rsidR="008C2274" w:rsidRPr="008C2274" w:rsidRDefault="008C2274" w:rsidP="008C2274">
      <w:pPr>
        <w:spacing w:line="276" w:lineRule="auto"/>
        <w:ind w:left="567" w:right="2269"/>
        <w:rPr>
          <w:color w:val="4F81BD" w:themeColor="accent1"/>
          <w:lang w:val="en-US"/>
        </w:rPr>
      </w:pPr>
      <w:r w:rsidRPr="008C2274">
        <w:rPr>
          <w:color w:val="4F81BD" w:themeColor="accent1"/>
          <w:lang w:val="en-US"/>
        </w:rPr>
        <w:t xml:space="preserve">In the following, the Nordic Council of Ministers (NMR) is referred to as the grant provider. It </w:t>
      </w:r>
      <w:r w:rsidR="006A4C1F" w:rsidRPr="006A4C1F">
        <w:rPr>
          <w:color w:val="4F81BD" w:themeColor="accent1"/>
          <w:lang w:val="en-US"/>
        </w:rPr>
        <w:t>i</w:t>
      </w:r>
      <w:r w:rsidRPr="008C2274">
        <w:rPr>
          <w:color w:val="4F81BD" w:themeColor="accent1"/>
          <w:lang w:val="en-US"/>
        </w:rPr>
        <w:t>s for the beneficiary of grants (the administration body) to inform the auditor of this instruction.</w:t>
      </w:r>
    </w:p>
    <w:p w:rsidR="008C2274" w:rsidRPr="008C2274" w:rsidRDefault="008C2274" w:rsidP="008C2274">
      <w:pPr>
        <w:spacing w:after="200" w:line="276" w:lineRule="auto"/>
        <w:rPr>
          <w:rFonts w:eastAsiaTheme="minorHAnsi" w:cstheme="minorBidi"/>
          <w:color w:val="4F81BD" w:themeColor="accent1"/>
          <w:spacing w:val="0"/>
          <w:szCs w:val="22"/>
          <w:lang w:val="en-US"/>
          <w14:numForm w14:val="default"/>
        </w:rPr>
      </w:pPr>
    </w:p>
    <w:p w:rsidR="008C2274" w:rsidRPr="005E16C4" w:rsidRDefault="008C2274" w:rsidP="008C2274">
      <w:pPr>
        <w:spacing w:line="276" w:lineRule="auto"/>
        <w:ind w:left="567" w:right="2269"/>
        <w:rPr>
          <w:color w:val="4F81BD" w:themeColor="accent1"/>
          <w:lang w:val="en-US"/>
        </w:rPr>
      </w:pPr>
      <w:r w:rsidRPr="005E16C4">
        <w:rPr>
          <w:color w:val="4F81BD" w:themeColor="accent1"/>
          <w:lang w:val="en-US"/>
        </w:rPr>
        <w:t>1. The audit is carried out by a state-authorised public accountant or a registered public accountant.</w:t>
      </w:r>
    </w:p>
    <w:p w:rsidR="008C2274" w:rsidRPr="005E16C4" w:rsidRDefault="008C2274" w:rsidP="008C2274">
      <w:pPr>
        <w:spacing w:line="276" w:lineRule="auto"/>
        <w:ind w:left="567" w:right="2269"/>
        <w:rPr>
          <w:color w:val="4F81BD" w:themeColor="accent1"/>
          <w:lang w:val="en-US"/>
        </w:rPr>
      </w:pPr>
    </w:p>
    <w:p w:rsidR="008C2274" w:rsidRPr="008C2274" w:rsidRDefault="008C2274" w:rsidP="008C2274">
      <w:pPr>
        <w:spacing w:line="276" w:lineRule="auto"/>
        <w:ind w:left="567" w:right="2269"/>
        <w:rPr>
          <w:color w:val="4F81BD" w:themeColor="accent1"/>
          <w:lang w:val="en-US"/>
        </w:rPr>
      </w:pPr>
      <w:r w:rsidRPr="008C2274">
        <w:rPr>
          <w:color w:val="4F81BD" w:themeColor="accent1"/>
          <w:lang w:val="en-US"/>
        </w:rPr>
        <w:t>(2) In the event of change of auditors in the project period, the incoming auditor must contact the resigning auditor who has a duty to state the reasons for the resignation.</w:t>
      </w:r>
    </w:p>
    <w:p w:rsidR="008C2274" w:rsidRPr="008C2274" w:rsidRDefault="008C2274" w:rsidP="008C2274">
      <w:pPr>
        <w:spacing w:line="276" w:lineRule="auto"/>
        <w:ind w:left="567" w:right="2269"/>
        <w:rPr>
          <w:color w:val="4F81BD" w:themeColor="accent1"/>
          <w:lang w:val="en-US"/>
        </w:rPr>
      </w:pPr>
    </w:p>
    <w:p w:rsidR="008C2274" w:rsidRPr="008C2274" w:rsidRDefault="008C2274" w:rsidP="008C2274">
      <w:pPr>
        <w:spacing w:line="276" w:lineRule="auto"/>
        <w:ind w:left="567" w:right="2269"/>
        <w:rPr>
          <w:color w:val="4F81BD" w:themeColor="accent1"/>
          <w:lang w:val="en-US"/>
        </w:rPr>
      </w:pPr>
      <w:r w:rsidRPr="008C2274">
        <w:rPr>
          <w:color w:val="4F81BD" w:themeColor="accent1"/>
          <w:lang w:val="en-US"/>
        </w:rPr>
        <w:t xml:space="preserve">2. The audit is conducted according to ISA and the standards for public audit, as well as this </w:t>
      </w:r>
      <w:r w:rsidR="00775DDC" w:rsidRPr="00A96ECD">
        <w:rPr>
          <w:color w:val="4F81BD" w:themeColor="accent1"/>
          <w:lang w:val="en-US"/>
        </w:rPr>
        <w:t>in</w:t>
      </w:r>
      <w:r w:rsidR="00BF7951" w:rsidRPr="00A96ECD">
        <w:rPr>
          <w:color w:val="4F81BD" w:themeColor="accent1"/>
          <w:lang w:val="en-US"/>
        </w:rPr>
        <w:t>s</w:t>
      </w:r>
      <w:r w:rsidR="00775DDC" w:rsidRPr="00A96ECD">
        <w:rPr>
          <w:color w:val="4F81BD" w:themeColor="accent1"/>
          <w:lang w:val="en-US"/>
        </w:rPr>
        <w:t>truc</w:t>
      </w:r>
      <w:r w:rsidR="00BF7951" w:rsidRPr="00A96ECD">
        <w:rPr>
          <w:color w:val="4F81BD" w:themeColor="accent1"/>
          <w:lang w:val="en-US"/>
        </w:rPr>
        <w:t>t</w:t>
      </w:r>
      <w:r w:rsidR="00775DDC" w:rsidRPr="00A96ECD">
        <w:rPr>
          <w:color w:val="4F81BD" w:themeColor="accent1"/>
          <w:lang w:val="en-US"/>
        </w:rPr>
        <w:t>ion</w:t>
      </w:r>
      <w:r w:rsidRPr="008C2274">
        <w:rPr>
          <w:color w:val="4F81BD" w:themeColor="accent1"/>
          <w:lang w:val="en-US"/>
        </w:rPr>
        <w:t>.</w:t>
      </w:r>
    </w:p>
    <w:p w:rsidR="008C2274" w:rsidRPr="00775DDC" w:rsidRDefault="008C2274" w:rsidP="008C2274">
      <w:pPr>
        <w:spacing w:line="276" w:lineRule="auto"/>
        <w:ind w:left="567" w:right="2269"/>
        <w:rPr>
          <w:color w:val="4F81BD" w:themeColor="accent1"/>
          <w:lang w:val="en-US"/>
        </w:rPr>
      </w:pPr>
    </w:p>
    <w:p w:rsidR="008C2274" w:rsidRPr="005E16C4" w:rsidRDefault="008C2274" w:rsidP="008C2274">
      <w:pPr>
        <w:spacing w:line="276" w:lineRule="auto"/>
        <w:ind w:left="567" w:right="2269"/>
        <w:rPr>
          <w:color w:val="4F81BD" w:themeColor="accent1"/>
          <w:lang w:val="en-US"/>
        </w:rPr>
      </w:pPr>
      <w:r w:rsidRPr="008C2274">
        <w:rPr>
          <w:color w:val="4F81BD" w:themeColor="accent1"/>
          <w:lang w:val="en-US"/>
        </w:rPr>
        <w:t xml:space="preserve">(2) In the audit, it is checked if the project financial statements are correct, and if the transactions covered by the financial reporting are in compliance with the grants given, acts and other regulations and with agreements entered into and usual practice. </w:t>
      </w:r>
      <w:r w:rsidRPr="005E16C4">
        <w:rPr>
          <w:color w:val="4F81BD" w:themeColor="accent1"/>
          <w:lang w:val="en-US"/>
        </w:rPr>
        <w:t>Further, an assessment is made if due financial considerations have been made in the administration of the funds covered by the project financial statements.</w:t>
      </w:r>
    </w:p>
    <w:p w:rsidR="008C2274" w:rsidRPr="005E16C4" w:rsidRDefault="008C2274" w:rsidP="008C2274">
      <w:pPr>
        <w:spacing w:line="276" w:lineRule="auto"/>
        <w:ind w:left="567" w:right="2269"/>
        <w:rPr>
          <w:color w:val="4F81BD" w:themeColor="accent1"/>
          <w:lang w:val="en-US"/>
        </w:rPr>
      </w:pPr>
    </w:p>
    <w:p w:rsidR="008C2274" w:rsidRPr="005E16C4" w:rsidRDefault="008C2274" w:rsidP="008C2274">
      <w:pPr>
        <w:spacing w:line="276" w:lineRule="auto"/>
        <w:ind w:left="567" w:right="2269"/>
        <w:rPr>
          <w:color w:val="4F81BD" w:themeColor="accent1"/>
          <w:lang w:val="en-US"/>
        </w:rPr>
      </w:pPr>
      <w:r w:rsidRPr="008C2274">
        <w:rPr>
          <w:color w:val="4F81BD" w:themeColor="accent1"/>
          <w:lang w:val="en-US"/>
        </w:rPr>
        <w:t xml:space="preserve">3. The extent of the audit depends on the administrative structure and business processes of the grant receiving administrative body, including the internal </w:t>
      </w:r>
      <w:r w:rsidRPr="005E16C4">
        <w:rPr>
          <w:color w:val="4F81BD" w:themeColor="accent1"/>
          <w:lang w:val="en-US"/>
        </w:rPr>
        <w:lastRenderedPageBreak/>
        <w:t>control and other matters of importance to the financial reporting. Also, the size of the grant is of importance to the extent of the audit.</w:t>
      </w:r>
    </w:p>
    <w:p w:rsidR="008C2274" w:rsidRPr="005E16C4" w:rsidRDefault="008C2274" w:rsidP="008C2274">
      <w:pPr>
        <w:spacing w:line="276" w:lineRule="auto"/>
        <w:ind w:left="567" w:right="2269"/>
        <w:rPr>
          <w:color w:val="4F81BD" w:themeColor="accent1"/>
          <w:lang w:val="en-US"/>
        </w:rPr>
      </w:pPr>
    </w:p>
    <w:p w:rsidR="008C2274" w:rsidRPr="008C2274" w:rsidRDefault="008C2274" w:rsidP="008C2274">
      <w:pPr>
        <w:spacing w:line="276" w:lineRule="auto"/>
        <w:ind w:left="567" w:right="2269"/>
        <w:rPr>
          <w:color w:val="4F81BD" w:themeColor="accent1"/>
          <w:lang w:val="en-US"/>
        </w:rPr>
      </w:pPr>
      <w:r w:rsidRPr="008C2274">
        <w:rPr>
          <w:color w:val="4F81BD" w:themeColor="accent1"/>
          <w:lang w:val="en-US"/>
        </w:rPr>
        <w:t>4. In the audit, the auditor must</w:t>
      </w:r>
      <w:r w:rsidR="006A4C1F">
        <w:rPr>
          <w:color w:val="4F81BD" w:themeColor="accent1"/>
          <w:lang w:val="en-US"/>
        </w:rPr>
        <w:t xml:space="preserve"> check</w:t>
      </w:r>
      <w:r w:rsidRPr="008C2274">
        <w:rPr>
          <w:color w:val="4F81BD" w:themeColor="accent1"/>
          <w:lang w:val="en-US"/>
        </w:rPr>
        <w:t>:</w:t>
      </w:r>
    </w:p>
    <w:p w:rsidR="008C2274" w:rsidRPr="008C2274" w:rsidRDefault="008C2274" w:rsidP="008C2274">
      <w:pPr>
        <w:spacing w:line="276" w:lineRule="auto"/>
        <w:ind w:left="567" w:right="2269"/>
        <w:rPr>
          <w:color w:val="4F81BD" w:themeColor="accent1"/>
          <w:lang w:val="en-US"/>
        </w:rPr>
      </w:pPr>
    </w:p>
    <w:p w:rsidR="008C2274" w:rsidRPr="005E16C4" w:rsidRDefault="008C2274" w:rsidP="008C2274">
      <w:pPr>
        <w:pStyle w:val="Listeafsnit"/>
        <w:numPr>
          <w:ilvl w:val="0"/>
          <w:numId w:val="4"/>
        </w:numPr>
        <w:spacing w:line="276" w:lineRule="auto"/>
        <w:ind w:right="2269"/>
        <w:rPr>
          <w:color w:val="4F81BD" w:themeColor="accent1"/>
          <w:lang w:val="en-US"/>
        </w:rPr>
      </w:pPr>
      <w:r w:rsidRPr="005E16C4">
        <w:rPr>
          <w:color w:val="4F81BD" w:themeColor="accent1"/>
          <w:lang w:val="en-US"/>
        </w:rPr>
        <w:t>If the project financial statements are true, i.e. without material errors and defects,</w:t>
      </w:r>
    </w:p>
    <w:p w:rsidR="008C2274" w:rsidRPr="005E16C4" w:rsidRDefault="008C2274" w:rsidP="008C2274">
      <w:pPr>
        <w:pStyle w:val="Listeafsnit"/>
        <w:numPr>
          <w:ilvl w:val="0"/>
          <w:numId w:val="4"/>
        </w:numPr>
        <w:spacing w:line="276" w:lineRule="auto"/>
        <w:ind w:right="2269"/>
        <w:rPr>
          <w:color w:val="4F81BD" w:themeColor="accent1"/>
          <w:lang w:val="en-US"/>
        </w:rPr>
      </w:pPr>
      <w:r w:rsidRPr="005E16C4">
        <w:rPr>
          <w:color w:val="4F81BD" w:themeColor="accent1"/>
          <w:lang w:val="en-US"/>
        </w:rPr>
        <w:t>if the conditions for receiving grants are complied with, including the provisions in the project agreement with NMR,</w:t>
      </w:r>
    </w:p>
    <w:p w:rsidR="008C2274" w:rsidRPr="005E16C4" w:rsidRDefault="008C2274" w:rsidP="008C2274">
      <w:pPr>
        <w:pStyle w:val="Listeafsnit"/>
        <w:numPr>
          <w:ilvl w:val="0"/>
          <w:numId w:val="4"/>
        </w:numPr>
        <w:spacing w:line="276" w:lineRule="auto"/>
        <w:ind w:right="2269"/>
        <w:rPr>
          <w:color w:val="4F81BD" w:themeColor="accent1"/>
          <w:lang w:val="en-US"/>
        </w:rPr>
      </w:pPr>
      <w:r w:rsidRPr="005E16C4">
        <w:rPr>
          <w:color w:val="4F81BD" w:themeColor="accent1"/>
          <w:lang w:val="en-US"/>
        </w:rPr>
        <w:t>if the grant has been used in compliance with purposes and basis of the grant,</w:t>
      </w:r>
    </w:p>
    <w:p w:rsidR="008C2274" w:rsidRPr="005E16C4" w:rsidRDefault="008C2274" w:rsidP="008C2274">
      <w:pPr>
        <w:pStyle w:val="Listeafsnit"/>
        <w:numPr>
          <w:ilvl w:val="0"/>
          <w:numId w:val="4"/>
        </w:numPr>
        <w:spacing w:line="276" w:lineRule="auto"/>
        <w:ind w:right="2269"/>
        <w:rPr>
          <w:color w:val="4F81BD" w:themeColor="accent1"/>
          <w:lang w:val="en-US"/>
        </w:rPr>
      </w:pPr>
      <w:r w:rsidRPr="005E16C4">
        <w:rPr>
          <w:color w:val="4F81BD" w:themeColor="accent1"/>
          <w:lang w:val="en-US"/>
        </w:rPr>
        <w:t>if the beneficiary of grants has been economical,</w:t>
      </w:r>
    </w:p>
    <w:p w:rsidR="008C2274" w:rsidRPr="005E16C4" w:rsidRDefault="008C2274" w:rsidP="008C2274">
      <w:pPr>
        <w:pStyle w:val="Listeafsnit"/>
        <w:numPr>
          <w:ilvl w:val="0"/>
          <w:numId w:val="4"/>
        </w:numPr>
        <w:spacing w:line="276" w:lineRule="auto"/>
        <w:ind w:right="2269"/>
        <w:rPr>
          <w:color w:val="4F81BD" w:themeColor="accent1"/>
          <w:lang w:val="en-US"/>
        </w:rPr>
      </w:pPr>
      <w:r w:rsidRPr="005E16C4">
        <w:rPr>
          <w:color w:val="4F81BD" w:themeColor="accent1"/>
          <w:lang w:val="en-US"/>
        </w:rPr>
        <w:t>if the information that the beneficiary of grants has given to the grant provider about the compliance with the delivery requirements in the contract, has been documented,</w:t>
      </w:r>
    </w:p>
    <w:p w:rsidR="008C2274" w:rsidRPr="005E16C4" w:rsidRDefault="008C2274" w:rsidP="008C2274">
      <w:pPr>
        <w:pStyle w:val="Listeafsnit"/>
        <w:numPr>
          <w:ilvl w:val="0"/>
          <w:numId w:val="4"/>
        </w:numPr>
        <w:spacing w:line="276" w:lineRule="auto"/>
        <w:ind w:right="2269"/>
        <w:rPr>
          <w:color w:val="4F81BD" w:themeColor="accent1"/>
          <w:lang w:val="en-US"/>
        </w:rPr>
      </w:pPr>
      <w:r w:rsidRPr="005E16C4">
        <w:rPr>
          <w:color w:val="4F81BD" w:themeColor="accent1"/>
          <w:lang w:val="en-US"/>
        </w:rPr>
        <w:t>if the management of the beneficiary of grants has made a professional reporting in the cases where the grant provider has made a claim to that effect, and that the data forming the basis thereof is reliable</w:t>
      </w:r>
    </w:p>
    <w:p w:rsidR="008C2274" w:rsidRPr="005E16C4" w:rsidRDefault="008C2274" w:rsidP="008C2274">
      <w:pPr>
        <w:spacing w:line="276" w:lineRule="auto"/>
        <w:ind w:left="567" w:right="2269"/>
        <w:rPr>
          <w:color w:val="4F81BD" w:themeColor="accent1"/>
          <w:lang w:val="en-US"/>
        </w:rPr>
      </w:pPr>
      <w:r w:rsidRPr="005E16C4">
        <w:rPr>
          <w:color w:val="4F81BD" w:themeColor="accent1"/>
          <w:lang w:val="en-US"/>
        </w:rPr>
        <w:t xml:space="preserve"> </w:t>
      </w:r>
    </w:p>
    <w:p w:rsidR="008C2274" w:rsidRPr="008C2274" w:rsidRDefault="008C2274" w:rsidP="008C2274">
      <w:pPr>
        <w:spacing w:line="276" w:lineRule="auto"/>
        <w:ind w:left="567" w:right="2269"/>
        <w:rPr>
          <w:color w:val="4F81BD" w:themeColor="accent1"/>
          <w:lang w:val="en-US"/>
        </w:rPr>
      </w:pPr>
      <w:r w:rsidRPr="008C2274">
        <w:rPr>
          <w:color w:val="4F81BD" w:themeColor="accent1"/>
          <w:lang w:val="en-US"/>
        </w:rPr>
        <w:t xml:space="preserve">(2) The audit is carried out by means of random investigations. </w:t>
      </w:r>
    </w:p>
    <w:p w:rsidR="008C2274" w:rsidRPr="008C2274" w:rsidRDefault="008C2274" w:rsidP="008C2274">
      <w:pPr>
        <w:spacing w:line="276" w:lineRule="auto"/>
        <w:ind w:left="567" w:right="2269"/>
        <w:rPr>
          <w:color w:val="4F81BD" w:themeColor="accent1"/>
          <w:lang w:val="en-US"/>
        </w:rPr>
      </w:pPr>
    </w:p>
    <w:p w:rsidR="008C2274" w:rsidRPr="008C2274" w:rsidRDefault="008C2274" w:rsidP="008C2274">
      <w:pPr>
        <w:spacing w:line="276" w:lineRule="auto"/>
        <w:ind w:left="567" w:right="2269"/>
        <w:rPr>
          <w:color w:val="4F81BD" w:themeColor="accent1"/>
          <w:lang w:val="en-US"/>
        </w:rPr>
      </w:pPr>
      <w:r w:rsidRPr="005E16C4">
        <w:rPr>
          <w:color w:val="4F81BD" w:themeColor="accent1"/>
          <w:lang w:val="en-US"/>
        </w:rPr>
        <w:t xml:space="preserve">5. The beneficiary of grants must provide the auditor with the information that must be deemed to be of importance to the assessment of the financial statements and to the auditor's assessment of the administration, including targets and obtained results. </w:t>
      </w:r>
      <w:r w:rsidRPr="008C2274">
        <w:rPr>
          <w:color w:val="4F81BD" w:themeColor="accent1"/>
          <w:lang w:val="en-US"/>
        </w:rPr>
        <w:t xml:space="preserve">The beneficiary of grants must give the auditor access to perform the investigations found necessary by the grant provider and must ensure that the auditor obtains the information and the assistance which the auditor considers necessary in the performance of their duty. </w:t>
      </w:r>
    </w:p>
    <w:p w:rsidR="008C2274" w:rsidRPr="008C2274" w:rsidRDefault="008C2274" w:rsidP="008C2274">
      <w:pPr>
        <w:spacing w:line="276" w:lineRule="auto"/>
        <w:ind w:left="567" w:right="2269"/>
        <w:rPr>
          <w:color w:val="4F81BD" w:themeColor="accent1"/>
          <w:lang w:val="en-US"/>
        </w:rPr>
      </w:pPr>
    </w:p>
    <w:p w:rsidR="008C2274" w:rsidRPr="005E16C4" w:rsidRDefault="008C2274" w:rsidP="008C2274">
      <w:pPr>
        <w:spacing w:line="276" w:lineRule="auto"/>
        <w:ind w:left="567" w:right="2269"/>
        <w:rPr>
          <w:color w:val="4F81BD" w:themeColor="accent1"/>
          <w:lang w:val="en-US"/>
        </w:rPr>
      </w:pPr>
      <w:r w:rsidRPr="008C2274">
        <w:rPr>
          <w:color w:val="4F81BD" w:themeColor="accent1"/>
          <w:lang w:val="en-US"/>
        </w:rPr>
        <w:t xml:space="preserve">6. If the auditor becomes aware of offences or disregard of regulations of material importance </w:t>
      </w:r>
      <w:r w:rsidR="006A4C1F">
        <w:rPr>
          <w:color w:val="4F81BD" w:themeColor="accent1"/>
          <w:lang w:val="en-US"/>
        </w:rPr>
        <w:t>regarding</w:t>
      </w:r>
      <w:r w:rsidRPr="008C2274">
        <w:rPr>
          <w:color w:val="4F81BD" w:themeColor="accent1"/>
          <w:lang w:val="en-US"/>
        </w:rPr>
        <w:t xml:space="preserve"> the administration of the funds, it lies with the auditor immediately to notify the beneficiary of grants thereof and to ensure that the management of the beneficiary of grants informs the grant provider within three weeks.</w:t>
      </w:r>
      <w:r w:rsidR="00377444">
        <w:rPr>
          <w:color w:val="4F81BD" w:themeColor="accent1"/>
          <w:lang w:val="en-US"/>
        </w:rPr>
        <w:t xml:space="preserve"> </w:t>
      </w:r>
      <w:r w:rsidRPr="008C2274">
        <w:rPr>
          <w:color w:val="4F81BD" w:themeColor="accent1"/>
          <w:lang w:val="en-US"/>
        </w:rPr>
        <w:t xml:space="preserve">Otherwise, it is the auditor's duty to inform the grant provider. </w:t>
      </w:r>
      <w:r w:rsidRPr="005E16C4">
        <w:rPr>
          <w:color w:val="4F81BD" w:themeColor="accent1"/>
          <w:lang w:val="en-US"/>
        </w:rPr>
        <w:t xml:space="preserve">The auditor's comments are sent together with the notification.  </w:t>
      </w:r>
    </w:p>
    <w:p w:rsidR="008C2274" w:rsidRPr="005E16C4" w:rsidRDefault="008C2274" w:rsidP="008C2274">
      <w:pPr>
        <w:spacing w:line="276" w:lineRule="auto"/>
        <w:ind w:left="567" w:right="2269"/>
        <w:rPr>
          <w:color w:val="4F81BD" w:themeColor="accent1"/>
          <w:lang w:val="en-US"/>
        </w:rPr>
      </w:pPr>
    </w:p>
    <w:p w:rsidR="008C2274" w:rsidRPr="005E16C4" w:rsidRDefault="008C2274" w:rsidP="008C2274">
      <w:pPr>
        <w:spacing w:line="276" w:lineRule="auto"/>
        <w:ind w:left="567" w:right="2269"/>
        <w:rPr>
          <w:color w:val="4F81BD" w:themeColor="accent1"/>
          <w:lang w:val="en-US"/>
        </w:rPr>
      </w:pPr>
      <w:r w:rsidRPr="005E16C4">
        <w:rPr>
          <w:color w:val="4F81BD" w:themeColor="accent1"/>
          <w:lang w:val="en-US"/>
        </w:rPr>
        <w:t>(2) The same applies if during his audit or otherwise the auditor becomes aware that the completion of the project is uncertain for financial or other reasons.</w:t>
      </w:r>
    </w:p>
    <w:p w:rsidR="008C2274" w:rsidRPr="005E16C4" w:rsidRDefault="008C2274" w:rsidP="008C2274">
      <w:pPr>
        <w:spacing w:line="276" w:lineRule="auto"/>
        <w:ind w:left="567" w:right="2269"/>
        <w:rPr>
          <w:color w:val="4F81BD" w:themeColor="accent1"/>
          <w:lang w:val="en-US"/>
        </w:rPr>
      </w:pPr>
    </w:p>
    <w:p w:rsidR="008C2274" w:rsidRPr="008C2274" w:rsidRDefault="008C2274" w:rsidP="008C2274">
      <w:pPr>
        <w:spacing w:line="276" w:lineRule="auto"/>
        <w:ind w:left="567" w:right="2269"/>
        <w:rPr>
          <w:color w:val="4F81BD" w:themeColor="accent1"/>
          <w:lang w:val="en-US"/>
        </w:rPr>
      </w:pPr>
      <w:r w:rsidRPr="008C2274">
        <w:rPr>
          <w:color w:val="4F81BD" w:themeColor="accent1"/>
          <w:lang w:val="en-US"/>
        </w:rPr>
        <w:t xml:space="preserve">7. The audited project financial statements are provided with a statement from which it must appear that the financial statements have been audited in </w:t>
      </w:r>
      <w:r w:rsidRPr="008C2274">
        <w:rPr>
          <w:color w:val="4F81BD" w:themeColor="accent1"/>
          <w:lang w:val="en-US"/>
        </w:rPr>
        <w:lastRenderedPageBreak/>
        <w:t xml:space="preserve">compliance with the rules in this instruction. Any reservations and supplementary information must appear from the statement. </w:t>
      </w:r>
    </w:p>
    <w:p w:rsidR="008C2274" w:rsidRPr="008C2274" w:rsidRDefault="008C2274" w:rsidP="008C2274">
      <w:pPr>
        <w:spacing w:line="276" w:lineRule="auto"/>
        <w:ind w:left="567" w:right="2269"/>
        <w:rPr>
          <w:color w:val="4F81BD" w:themeColor="accent1"/>
          <w:lang w:val="en-US"/>
        </w:rPr>
      </w:pPr>
    </w:p>
    <w:p w:rsidR="008C2274" w:rsidRPr="008C2274" w:rsidRDefault="008C2274" w:rsidP="008C2274">
      <w:pPr>
        <w:spacing w:line="276" w:lineRule="auto"/>
        <w:ind w:left="567" w:right="2269"/>
        <w:rPr>
          <w:color w:val="4F81BD" w:themeColor="accent1"/>
          <w:lang w:val="en-US"/>
        </w:rPr>
      </w:pPr>
      <w:r w:rsidRPr="00AD2302">
        <w:rPr>
          <w:color w:val="4F81BD" w:themeColor="accent1"/>
          <w:lang w:val="en-US"/>
        </w:rPr>
        <w:t xml:space="preserve">(2) The auditor must give auditors' records with the auditor's assessment and conclusion concerning the audit conducted, see section 4. The auditors' </w:t>
      </w:r>
      <w:r w:rsidR="00A96ECD" w:rsidRPr="00AD2302">
        <w:rPr>
          <w:color w:val="4F81BD" w:themeColor="accent1"/>
          <w:lang w:val="en-US"/>
        </w:rPr>
        <w:t>r</w:t>
      </w:r>
      <w:r w:rsidRPr="00AD2302">
        <w:rPr>
          <w:color w:val="4F81BD" w:themeColor="accent1"/>
          <w:lang w:val="en-US"/>
        </w:rPr>
        <w:t>e</w:t>
      </w:r>
      <w:r w:rsidR="00A96ECD" w:rsidRPr="00AD2302">
        <w:rPr>
          <w:color w:val="4F81BD" w:themeColor="accent1"/>
          <w:lang w:val="en-US"/>
        </w:rPr>
        <w:t>c</w:t>
      </w:r>
      <w:r w:rsidRPr="00AD2302">
        <w:rPr>
          <w:color w:val="4F81BD" w:themeColor="accent1"/>
          <w:lang w:val="en-US"/>
        </w:rPr>
        <w:t>ords may be given in conjunction with the statement " Audit reporting - Project financial Statements"</w:t>
      </w:r>
      <w:r w:rsidR="00A96ECD" w:rsidRPr="00AD2302">
        <w:rPr>
          <w:color w:val="4F81BD" w:themeColor="accent1"/>
          <w:lang w:val="en-US"/>
        </w:rPr>
        <w:t>.</w:t>
      </w:r>
      <w:r w:rsidR="00A96ECD">
        <w:rPr>
          <w:color w:val="4F81BD" w:themeColor="accent1"/>
          <w:lang w:val="en-US"/>
        </w:rPr>
        <w:t xml:space="preserve"> </w:t>
      </w:r>
      <w:r w:rsidRPr="008C2274">
        <w:rPr>
          <w:color w:val="4F81BD" w:themeColor="accent1"/>
          <w:lang w:val="en-US"/>
        </w:rPr>
        <w:t xml:space="preserve"> </w:t>
      </w:r>
    </w:p>
    <w:p w:rsidR="008C2274" w:rsidRPr="008C2274" w:rsidRDefault="008C2274" w:rsidP="008C2274">
      <w:pPr>
        <w:spacing w:line="276" w:lineRule="auto"/>
        <w:ind w:left="567" w:right="2269"/>
        <w:rPr>
          <w:color w:val="4F81BD" w:themeColor="accent1"/>
          <w:lang w:val="en-US"/>
        </w:rPr>
      </w:pPr>
    </w:p>
    <w:p w:rsidR="008C2274" w:rsidRPr="005E16C4" w:rsidRDefault="008C2274" w:rsidP="008C2274">
      <w:pPr>
        <w:spacing w:line="276" w:lineRule="auto"/>
        <w:ind w:left="567" w:right="2269"/>
        <w:rPr>
          <w:color w:val="4F81BD" w:themeColor="accent1"/>
          <w:lang w:val="en-US"/>
        </w:rPr>
      </w:pPr>
      <w:r w:rsidRPr="005E16C4">
        <w:rPr>
          <w:color w:val="4F81BD" w:themeColor="accent1"/>
          <w:lang w:val="en-US"/>
        </w:rPr>
        <w:t xml:space="preserve">(3) A copy of the auditors' records is submitted by the beneficiary of grants to NMR together with the endorsed project financial statements. </w:t>
      </w:r>
    </w:p>
    <w:p w:rsidR="008C2274" w:rsidRPr="005E16C4" w:rsidRDefault="008C2274" w:rsidP="008C2274">
      <w:pPr>
        <w:spacing w:line="276" w:lineRule="auto"/>
        <w:ind w:left="567" w:right="2269"/>
        <w:rPr>
          <w:color w:val="4F81BD" w:themeColor="accent1"/>
          <w:lang w:val="en-US"/>
        </w:rPr>
      </w:pPr>
    </w:p>
    <w:p w:rsidR="008C2274" w:rsidRPr="008C2274" w:rsidRDefault="008C2274" w:rsidP="008C2274">
      <w:pPr>
        <w:spacing w:line="276" w:lineRule="auto"/>
        <w:ind w:left="567" w:right="2269"/>
        <w:rPr>
          <w:color w:val="4F81BD" w:themeColor="accent1"/>
          <w:lang w:val="en-US"/>
        </w:rPr>
      </w:pPr>
      <w:r w:rsidRPr="008C2274">
        <w:rPr>
          <w:color w:val="4F81BD" w:themeColor="accent1"/>
          <w:lang w:val="en-US"/>
        </w:rPr>
        <w:t xml:space="preserve">8. This instruction enters into force on </w:t>
      </w:r>
      <w:r>
        <w:rPr>
          <w:color w:val="4F81BD" w:themeColor="accent1"/>
          <w:lang w:val="en-US"/>
        </w:rPr>
        <w:t>November</w:t>
      </w:r>
      <w:r w:rsidRPr="008C2274">
        <w:rPr>
          <w:color w:val="4F81BD" w:themeColor="accent1"/>
          <w:lang w:val="en-US"/>
        </w:rPr>
        <w:t xml:space="preserve"> </w:t>
      </w:r>
      <w:r w:rsidR="005C01B5">
        <w:rPr>
          <w:color w:val="4F81BD" w:themeColor="accent1"/>
          <w:lang w:val="en-US"/>
        </w:rPr>
        <w:t>10</w:t>
      </w:r>
      <w:r w:rsidR="006C389E">
        <w:rPr>
          <w:color w:val="4F81BD" w:themeColor="accent1"/>
          <w:lang w:val="en-US"/>
        </w:rPr>
        <w:t xml:space="preserve">, </w:t>
      </w:r>
      <w:r>
        <w:rPr>
          <w:color w:val="4F81BD" w:themeColor="accent1"/>
          <w:lang w:val="en-US"/>
        </w:rPr>
        <w:t xml:space="preserve">2021. </w:t>
      </w:r>
      <w:r w:rsidRPr="008C2274">
        <w:rPr>
          <w:color w:val="4F81BD" w:themeColor="accent1"/>
          <w:lang w:val="en-US"/>
        </w:rPr>
        <w:t xml:space="preserve"> </w:t>
      </w:r>
    </w:p>
    <w:p w:rsidR="008C2274" w:rsidRPr="008C2274" w:rsidRDefault="008C2274" w:rsidP="008C2274">
      <w:pPr>
        <w:spacing w:line="276" w:lineRule="auto"/>
        <w:ind w:left="567" w:right="2269"/>
        <w:rPr>
          <w:color w:val="4F81BD" w:themeColor="accent1"/>
          <w:lang w:val="en-US"/>
        </w:rPr>
      </w:pPr>
    </w:p>
    <w:p w:rsidR="008C2274" w:rsidRPr="008C2274" w:rsidRDefault="008C2274" w:rsidP="00DF312D">
      <w:pPr>
        <w:spacing w:line="276" w:lineRule="auto"/>
        <w:ind w:left="567" w:right="2269"/>
        <w:rPr>
          <w:color w:val="4F81BD" w:themeColor="accent1"/>
          <w:lang w:val="en-US"/>
        </w:rPr>
      </w:pPr>
    </w:p>
    <w:p w:rsidR="00026C34" w:rsidRPr="005E16C4" w:rsidRDefault="00026C34">
      <w:pPr>
        <w:rPr>
          <w:lang w:val="en-US"/>
        </w:rPr>
      </w:pPr>
    </w:p>
    <w:sectPr w:rsidR="00026C34" w:rsidRPr="005E16C4" w:rsidSect="0069534A">
      <w:headerReference w:type="even" r:id="rId7"/>
      <w:headerReference w:type="default" r:id="rId8"/>
      <w:footerReference w:type="default" r:id="rId9"/>
      <w:headerReference w:type="first" r:id="rId10"/>
      <w:pgSz w:w="11907" w:h="16840" w:code="9"/>
      <w:pgMar w:top="2155" w:right="850" w:bottom="1276" w:left="850" w:header="964"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228" w:rsidRDefault="003A5228" w:rsidP="00B00C62">
      <w:pPr>
        <w:spacing w:line="240" w:lineRule="auto"/>
      </w:pPr>
      <w:r>
        <w:separator/>
      </w:r>
    </w:p>
  </w:endnote>
  <w:endnote w:type="continuationSeparator" w:id="0">
    <w:p w:rsidR="003A5228" w:rsidRDefault="003A5228" w:rsidP="00B00C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59C" w:rsidRDefault="00DE1302" w:rsidP="0036765B">
    <w:pPr>
      <w:jc w:val="right"/>
    </w:pPr>
    <w:sdt>
      <w:sdtPr>
        <w:id w:val="-1598938835"/>
        <w:docPartObj>
          <w:docPartGallery w:val="Page Numbers (Bottom of Page)"/>
          <w:docPartUnique/>
        </w:docPartObj>
      </w:sdtPr>
      <w:sdtEndPr/>
      <w:sdtContent>
        <w:r w:rsidR="003A5228">
          <w:fldChar w:fldCharType="begin"/>
        </w:r>
        <w:r w:rsidR="003A5228">
          <w:instrText xml:space="preserve"> PAGE   \* MERGEFORMAT </w:instrText>
        </w:r>
        <w:r w:rsidR="003A5228">
          <w:fldChar w:fldCharType="separate"/>
        </w:r>
        <w:r>
          <w:rPr>
            <w:noProof/>
          </w:rPr>
          <w:t>3</w:t>
        </w:r>
        <w:r w:rsidR="003A5228">
          <w:rPr>
            <w:noProof/>
          </w:rPr>
          <w:fldChar w:fldCharType="end"/>
        </w:r>
      </w:sdtContent>
    </w:sdt>
    <w:r w:rsidR="003A5228">
      <w:t xml:space="preserve"> / </w:t>
    </w:r>
    <w:r>
      <w:fldChar w:fldCharType="begin"/>
    </w:r>
    <w:r>
      <w:instrText xml:space="preserve"> NUMPAGES  \* Arabic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228" w:rsidRDefault="003A5228" w:rsidP="00B00C62">
      <w:pPr>
        <w:spacing w:line="240" w:lineRule="auto"/>
      </w:pPr>
      <w:r>
        <w:separator/>
      </w:r>
    </w:p>
  </w:footnote>
  <w:footnote w:type="continuationSeparator" w:id="0">
    <w:p w:rsidR="003A5228" w:rsidRDefault="003A5228" w:rsidP="00B00C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59C" w:rsidRDefault="00DE1302">
    <w:pPr>
      <w:pStyle w:val="Sidehoved"/>
    </w:pPr>
    <w:r>
      <w:rPr>
        <w:lang w:val="en-GB"/>
      </w:rPr>
      <w:object w:dxaOrig="1440" w:dyaOrig="1440">
        <v:group id="_x0000_s2049" style="position:absolute;margin-left:417.25pt;margin-top:21.85pt;width:144.35pt;height:72.25pt;z-index:251659264;mso-position-horizontal-relative:page;mso-position-vertical-relative:page" coordorigin="8326,437" coordsize="2887,1445" o:allowincell="f">
          <v:rect id="_x0000_s2050" style="position:absolute;left:8529;top:1258;width:2684;height:624" filled="f" stroked="f" strokeweight="0">
            <v:textbox style="mso-next-textbox:#_x0000_s2050" inset="0,0,0,0">
              <w:txbxContent>
                <w:p w:rsidR="0069059C" w:rsidRDefault="003A5228">
                  <w:pPr>
                    <w:rPr>
                      <w:sz w:val="17"/>
                    </w:rPr>
                  </w:pPr>
                  <w:r>
                    <w:rPr>
                      <w:sz w:val="17"/>
                    </w:rPr>
                    <w:t>kkk</w:t>
                  </w:r>
                </w:p>
                <w:p w:rsidR="0069059C" w:rsidRDefault="003A5228">
                  <w:pPr>
                    <w:rPr>
                      <w:sz w:val="17"/>
                    </w:rPr>
                  </w:pPr>
                  <w:r>
                    <w:rPr>
                      <w:sz w:val="17"/>
                    </w:rPr>
                    <w:t>Info.ingredients@danisco.com</w:t>
                  </w:r>
                </w:p>
                <w:p w:rsidR="0069059C" w:rsidRDefault="003A5228">
                  <w:pPr>
                    <w:rPr>
                      <w:color w:val="000080"/>
                      <w:sz w:val="14"/>
                    </w:rPr>
                  </w:pPr>
                  <w:r>
                    <w:rPr>
                      <w:sz w:val="17"/>
                    </w:rPr>
                    <w:t>www.danisco.com/ingredients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8326;top:437;width:2816;height:566" fillcolor="window">
            <v:imagedata r:id="rId1" o:title=""/>
          </v:shape>
          <w10:wrap type="topAndBottom" anchorx="page" anchory="page"/>
        </v:group>
        <o:OLEObject Type="Embed" ProgID="Word.Picture.8" ShapeID="_x0000_s2051" DrawAspect="Content" ObjectID="_1698055639"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CellMar>
        <w:left w:w="0" w:type="dxa"/>
        <w:right w:w="0" w:type="dxa"/>
      </w:tblCellMar>
      <w:tblLook w:val="04A0" w:firstRow="1" w:lastRow="0" w:firstColumn="1" w:lastColumn="0" w:noHBand="0" w:noVBand="1"/>
    </w:tblPr>
    <w:tblGrid>
      <w:gridCol w:w="397"/>
    </w:tblGrid>
    <w:tr w:rsidR="0069059C" w:rsidTr="00FC2F2A">
      <w:trPr>
        <w:cantSplit/>
        <w:trHeight w:hRule="exact" w:val="397"/>
        <w:jc w:val="right"/>
      </w:trPr>
      <w:tc>
        <w:tcPr>
          <w:tcW w:w="397" w:type="dxa"/>
        </w:tcPr>
        <w:p w:rsidR="0069059C" w:rsidRPr="00677A2B" w:rsidRDefault="003A5228" w:rsidP="00677A2B">
          <w:pPr>
            <w:jc w:val="right"/>
          </w:pPr>
          <w:bookmarkStart w:id="1" w:name="LogoSecondPage" w:colFirst="0" w:colLast="0"/>
          <w:r>
            <w:rPr>
              <w:noProof/>
              <w:lang w:eastAsia="da-DK"/>
              <w14:numForm w14:val="default"/>
            </w:rPr>
            <w:drawing>
              <wp:inline distT="0" distB="0" distL="0" distR="0" wp14:anchorId="18930FD3" wp14:editId="5CD2C9FF">
                <wp:extent cx="252095" cy="252095"/>
                <wp:effectExtent l="0" t="0" r="0" b="0"/>
                <wp:docPr id="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095" cy="252095"/>
                        </a:xfrm>
                        <a:prstGeom prst="rect">
                          <a:avLst/>
                        </a:prstGeom>
                      </pic:spPr>
                    </pic:pic>
                  </a:graphicData>
                </a:graphic>
              </wp:inline>
            </w:drawing>
          </w:r>
        </w:p>
      </w:tc>
    </w:tr>
    <w:bookmarkEnd w:id="1"/>
  </w:tbl>
  <w:p w:rsidR="0069059C" w:rsidRDefault="00DE1302" w:rsidP="00677A2B">
    <w:pPr>
      <w:pStyle w:val="Sidehoved"/>
      <w:spacing w:after="5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454" w:type="dxa"/>
      <w:tblLayout w:type="fixed"/>
      <w:tblCellMar>
        <w:left w:w="0" w:type="dxa"/>
        <w:right w:w="0" w:type="dxa"/>
      </w:tblCellMar>
      <w:tblLook w:val="04A0" w:firstRow="1" w:lastRow="0" w:firstColumn="1" w:lastColumn="0" w:noHBand="0" w:noVBand="1"/>
    </w:tblPr>
    <w:tblGrid>
      <w:gridCol w:w="5159"/>
      <w:gridCol w:w="4452"/>
    </w:tblGrid>
    <w:tr w:rsidR="0069059C" w:rsidTr="009956C4">
      <w:trPr>
        <w:cantSplit/>
      </w:trPr>
      <w:tc>
        <w:tcPr>
          <w:tcW w:w="5159" w:type="dxa"/>
        </w:tcPr>
        <w:p w:rsidR="0069059C" w:rsidRPr="00333A85" w:rsidRDefault="00DE1302" w:rsidP="00C44653">
          <w:pPr>
            <w:pStyle w:val="Niveau1"/>
            <w:numPr>
              <w:ilvl w:val="0"/>
              <w:numId w:val="0"/>
            </w:numPr>
            <w:ind w:left="454" w:hanging="454"/>
            <w:rPr>
              <w:sz w:val="20"/>
            </w:rPr>
          </w:pPr>
          <w:bookmarkStart w:id="2" w:name="LogoFirstPage" w:colFirst="1" w:colLast="1"/>
          <w:r>
            <w:rPr>
              <w:sz w:val="20"/>
            </w:rPr>
            <w:t>N</w:t>
          </w:r>
          <w:r w:rsidR="006D0AF6">
            <w:rPr>
              <w:sz w:val="20"/>
            </w:rPr>
            <w:t xml:space="preserve">ovember </w:t>
          </w:r>
          <w:r>
            <w:rPr>
              <w:sz w:val="20"/>
            </w:rPr>
            <w:t xml:space="preserve">10, </w:t>
          </w:r>
          <w:r w:rsidR="00B00C62">
            <w:rPr>
              <w:sz w:val="20"/>
            </w:rPr>
            <w:t>2021</w:t>
          </w:r>
        </w:p>
      </w:tc>
      <w:tc>
        <w:tcPr>
          <w:tcW w:w="4452" w:type="dxa"/>
        </w:tcPr>
        <w:p w:rsidR="0069059C" w:rsidRDefault="003A5228" w:rsidP="00EF525F">
          <w:pPr>
            <w:pStyle w:val="Sidehoved"/>
            <w:jc w:val="right"/>
          </w:pPr>
          <w:r>
            <w:rPr>
              <w:lang w:eastAsia="da-DK"/>
              <w14:numForm w14:val="default"/>
            </w:rPr>
            <w:drawing>
              <wp:inline distT="0" distB="0" distL="0" distR="0" wp14:anchorId="1D9C2C42" wp14:editId="0B5A93AE">
                <wp:extent cx="1374648" cy="390144"/>
                <wp:effectExtent l="0" t="0" r="0" b="0"/>
                <wp:docPr id="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648" cy="390144"/>
                        </a:xfrm>
                        <a:prstGeom prst="rect">
                          <a:avLst/>
                        </a:prstGeom>
                      </pic:spPr>
                    </pic:pic>
                  </a:graphicData>
                </a:graphic>
              </wp:inline>
            </w:drawing>
          </w:r>
        </w:p>
      </w:tc>
    </w:tr>
  </w:tbl>
  <w:p w:rsidR="0069059C" w:rsidRPr="00B56BC5" w:rsidRDefault="00DE1302" w:rsidP="00277823">
    <w:pPr>
      <w:pStyle w:val="Sidehoved"/>
      <w:spacing w:after="1100"/>
      <w:rPr>
        <w:lang w:val="en-US"/>
      </w:rPr>
    </w:pPr>
    <w:bookmarkStart w:id="3" w:name="LetterheadCompany"/>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B6C2E1C"/>
    <w:lvl w:ilvl="0">
      <w:start w:val="1"/>
      <w:numFmt w:val="bullet"/>
      <w:pStyle w:val="Opstilling-punkttegn"/>
      <w:lvlText w:val=""/>
      <w:lvlJc w:val="left"/>
      <w:pPr>
        <w:tabs>
          <w:tab w:val="num" w:pos="360"/>
        </w:tabs>
        <w:ind w:left="360" w:hanging="360"/>
      </w:pPr>
      <w:rPr>
        <w:rFonts w:ascii="Symbol" w:hAnsi="Symbol" w:hint="default"/>
        <w:color w:val="auto"/>
      </w:rPr>
    </w:lvl>
  </w:abstractNum>
  <w:abstractNum w:abstractNumId="1" w15:restartNumberingAfterBreak="0">
    <w:nsid w:val="0812542F"/>
    <w:multiLevelType w:val="multilevel"/>
    <w:tmpl w:val="80860B7E"/>
    <w:lvl w:ilvl="0">
      <w:start w:val="1"/>
      <w:numFmt w:val="decimal"/>
      <w:pStyle w:val="Niveau1"/>
      <w:lvlText w:val="%1."/>
      <w:lvlJc w:val="left"/>
      <w:pPr>
        <w:tabs>
          <w:tab w:val="num" w:pos="454"/>
        </w:tabs>
        <w:ind w:left="454" w:hanging="454"/>
      </w:pPr>
      <w:rPr>
        <w:rFonts w:hint="default"/>
      </w:rPr>
    </w:lvl>
    <w:lvl w:ilvl="1">
      <w:start w:val="1"/>
      <w:numFmt w:val="decimal"/>
      <w:pStyle w:val="Niveau2"/>
      <w:lvlText w:val="%1.%2"/>
      <w:lvlJc w:val="left"/>
      <w:pPr>
        <w:tabs>
          <w:tab w:val="num" w:pos="567"/>
        </w:tabs>
        <w:ind w:left="567" w:hanging="567"/>
      </w:pPr>
      <w:rPr>
        <w:rFonts w:hint="default"/>
      </w:rPr>
    </w:lvl>
    <w:lvl w:ilvl="2">
      <w:start w:val="1"/>
      <w:numFmt w:val="decimal"/>
      <w:pStyle w:val="Niveau3"/>
      <w:lvlText w:val="%1.%2.%3"/>
      <w:lvlJc w:val="left"/>
      <w:pPr>
        <w:tabs>
          <w:tab w:val="num" w:pos="737"/>
        </w:tabs>
        <w:ind w:left="737" w:hanging="737"/>
      </w:pPr>
      <w:rPr>
        <w:rFonts w:hint="default"/>
      </w:rPr>
    </w:lvl>
    <w:lvl w:ilvl="3">
      <w:start w:val="1"/>
      <w:numFmt w:val="decimal"/>
      <w:pStyle w:val="Niveau4"/>
      <w:lvlText w:val="%1.%2.%3.%4"/>
      <w:lvlJc w:val="left"/>
      <w:pPr>
        <w:tabs>
          <w:tab w:val="num" w:pos="907"/>
        </w:tabs>
        <w:ind w:left="907" w:hanging="907"/>
      </w:pPr>
      <w:rPr>
        <w:rFonts w:hint="default"/>
      </w:rPr>
    </w:lvl>
    <w:lvl w:ilvl="4">
      <w:start w:val="1"/>
      <w:numFmt w:val="none"/>
      <w:lvlText w:val=""/>
      <w:lvlJc w:val="left"/>
      <w:pPr>
        <w:tabs>
          <w:tab w:val="num" w:pos="1188"/>
        </w:tabs>
        <w:ind w:left="1188" w:hanging="1008"/>
      </w:pPr>
      <w:rPr>
        <w:rFonts w:hint="default"/>
      </w:rPr>
    </w:lvl>
    <w:lvl w:ilvl="5">
      <w:start w:val="1"/>
      <w:numFmt w:val="none"/>
      <w:lvlText w:val=""/>
      <w:lvlJc w:val="left"/>
      <w:pPr>
        <w:tabs>
          <w:tab w:val="num" w:pos="1332"/>
        </w:tabs>
        <w:ind w:left="1332" w:hanging="1152"/>
      </w:pPr>
      <w:rPr>
        <w:rFonts w:hint="default"/>
      </w:rPr>
    </w:lvl>
    <w:lvl w:ilvl="6">
      <w:start w:val="1"/>
      <w:numFmt w:val="none"/>
      <w:lvlText w:val=""/>
      <w:lvlJc w:val="left"/>
      <w:pPr>
        <w:tabs>
          <w:tab w:val="num" w:pos="1476"/>
        </w:tabs>
        <w:ind w:left="1476" w:hanging="1296"/>
      </w:pPr>
      <w:rPr>
        <w:rFonts w:hint="default"/>
      </w:rPr>
    </w:lvl>
    <w:lvl w:ilvl="7">
      <w:start w:val="1"/>
      <w:numFmt w:val="none"/>
      <w:lvlText w:val=""/>
      <w:lvlJc w:val="left"/>
      <w:pPr>
        <w:tabs>
          <w:tab w:val="num" w:pos="1620"/>
        </w:tabs>
        <w:ind w:left="1620" w:hanging="1440"/>
      </w:pPr>
      <w:rPr>
        <w:rFonts w:hint="default"/>
      </w:rPr>
    </w:lvl>
    <w:lvl w:ilvl="8">
      <w:start w:val="1"/>
      <w:numFmt w:val="none"/>
      <w:lvlText w:val=""/>
      <w:lvlJc w:val="left"/>
      <w:pPr>
        <w:tabs>
          <w:tab w:val="num" w:pos="1764"/>
        </w:tabs>
        <w:ind w:left="1764" w:hanging="1584"/>
      </w:pPr>
      <w:rPr>
        <w:rFonts w:hint="default"/>
      </w:rPr>
    </w:lvl>
  </w:abstractNum>
  <w:abstractNum w:abstractNumId="2" w15:restartNumberingAfterBreak="0">
    <w:nsid w:val="146C289E"/>
    <w:multiLevelType w:val="hybridMultilevel"/>
    <w:tmpl w:val="F89E8B5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7246D98"/>
    <w:multiLevelType w:val="hybridMultilevel"/>
    <w:tmpl w:val="E33CF4F0"/>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4" w15:restartNumberingAfterBreak="0">
    <w:nsid w:val="737361BF"/>
    <w:multiLevelType w:val="hybridMultilevel"/>
    <w:tmpl w:val="3EBC3036"/>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2D"/>
    <w:rsid w:val="00020148"/>
    <w:rsid w:val="00026C34"/>
    <w:rsid w:val="00037CF9"/>
    <w:rsid w:val="00155F26"/>
    <w:rsid w:val="001D7F69"/>
    <w:rsid w:val="00230168"/>
    <w:rsid w:val="0026459F"/>
    <w:rsid w:val="002A34EF"/>
    <w:rsid w:val="002B3C97"/>
    <w:rsid w:val="002D5EBF"/>
    <w:rsid w:val="002E2872"/>
    <w:rsid w:val="003256FB"/>
    <w:rsid w:val="00365E66"/>
    <w:rsid w:val="00377444"/>
    <w:rsid w:val="00381EE4"/>
    <w:rsid w:val="003A5228"/>
    <w:rsid w:val="004D0F81"/>
    <w:rsid w:val="00524FB5"/>
    <w:rsid w:val="00533BD2"/>
    <w:rsid w:val="005C01B5"/>
    <w:rsid w:val="005E16C4"/>
    <w:rsid w:val="00665735"/>
    <w:rsid w:val="006702C2"/>
    <w:rsid w:val="006A0D8A"/>
    <w:rsid w:val="006A4C1F"/>
    <w:rsid w:val="006C389E"/>
    <w:rsid w:val="006D0AF6"/>
    <w:rsid w:val="0073720E"/>
    <w:rsid w:val="00741EC7"/>
    <w:rsid w:val="00775DDC"/>
    <w:rsid w:val="00805752"/>
    <w:rsid w:val="008C2274"/>
    <w:rsid w:val="009D712E"/>
    <w:rsid w:val="00A06404"/>
    <w:rsid w:val="00A572FB"/>
    <w:rsid w:val="00A96ECD"/>
    <w:rsid w:val="00AD2302"/>
    <w:rsid w:val="00AF310D"/>
    <w:rsid w:val="00B00C62"/>
    <w:rsid w:val="00B5702A"/>
    <w:rsid w:val="00BE5E68"/>
    <w:rsid w:val="00BF7951"/>
    <w:rsid w:val="00D33A6E"/>
    <w:rsid w:val="00DE1302"/>
    <w:rsid w:val="00DF312D"/>
    <w:rsid w:val="00EF6CD9"/>
    <w:rsid w:val="00F0632E"/>
    <w:rsid w:val="00F61A30"/>
    <w:rsid w:val="00F6478D"/>
    <w:rsid w:val="00FB6B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4BE7272"/>
  <w15:chartTrackingRefBased/>
  <w15:docId w15:val="{E6C31486-FF30-4C37-9519-906BD6B6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12D"/>
    <w:pPr>
      <w:spacing w:after="0" w:line="280" w:lineRule="atLeast"/>
    </w:pPr>
    <w:rPr>
      <w:rFonts w:ascii="Corbel" w:eastAsia="Times New Roman" w:hAnsi="Corbel" w:cs="Times New Roman"/>
      <w:spacing w:val="2"/>
      <w:szCs w:val="20"/>
      <w14:numForm w14:val="lining"/>
    </w:rPr>
  </w:style>
  <w:style w:type="paragraph" w:styleId="Overskrift1">
    <w:name w:val="heading 1"/>
    <w:basedOn w:val="Normal"/>
    <w:next w:val="Normal"/>
    <w:link w:val="Overskrift1Tegn"/>
    <w:uiPriority w:val="9"/>
    <w:qFormat/>
    <w:rsid w:val="00DF312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DF312D"/>
    <w:pPr>
      <w:tabs>
        <w:tab w:val="center" w:pos="4819"/>
        <w:tab w:val="right" w:pos="9638"/>
      </w:tabs>
    </w:pPr>
    <w:rPr>
      <w:noProof/>
      <w:sz w:val="16"/>
    </w:rPr>
  </w:style>
  <w:style w:type="character" w:customStyle="1" w:styleId="SidehovedTegn">
    <w:name w:val="Sidehoved Tegn"/>
    <w:basedOn w:val="Standardskrifttypeiafsnit"/>
    <w:link w:val="Sidehoved"/>
    <w:rsid w:val="00DF312D"/>
    <w:rPr>
      <w:rFonts w:ascii="Corbel" w:eastAsia="Times New Roman" w:hAnsi="Corbel" w:cs="Times New Roman"/>
      <w:noProof/>
      <w:spacing w:val="2"/>
      <w:sz w:val="16"/>
      <w:szCs w:val="20"/>
      <w14:numForm w14:val="lining"/>
    </w:rPr>
  </w:style>
  <w:style w:type="paragraph" w:customStyle="1" w:styleId="Niveau1">
    <w:name w:val="Niveau 1"/>
    <w:basedOn w:val="Overskrift1"/>
    <w:next w:val="Normal"/>
    <w:qFormat/>
    <w:rsid w:val="00DF312D"/>
    <w:pPr>
      <w:keepLines w:val="0"/>
      <w:numPr>
        <w:numId w:val="1"/>
      </w:numPr>
      <w:tabs>
        <w:tab w:val="clear" w:pos="454"/>
        <w:tab w:val="num" w:pos="360"/>
      </w:tabs>
      <w:suppressAutoHyphens/>
      <w:spacing w:before="0" w:line="300" w:lineRule="atLeast"/>
      <w:ind w:left="0" w:firstLine="0"/>
    </w:pPr>
    <w:rPr>
      <w:rFonts w:ascii="Corbel" w:eastAsia="Times New Roman" w:hAnsi="Corbel" w:cs="Times New Roman"/>
      <w:b/>
      <w:color w:val="auto"/>
      <w:sz w:val="24"/>
      <w:szCs w:val="20"/>
    </w:rPr>
  </w:style>
  <w:style w:type="paragraph" w:customStyle="1" w:styleId="Niveau2">
    <w:name w:val="Niveau 2"/>
    <w:basedOn w:val="Normal"/>
    <w:next w:val="Normal"/>
    <w:qFormat/>
    <w:rsid w:val="00DF312D"/>
    <w:pPr>
      <w:numPr>
        <w:ilvl w:val="1"/>
        <w:numId w:val="1"/>
      </w:numPr>
      <w:spacing w:before="400" w:after="200"/>
    </w:pPr>
    <w:rPr>
      <w:b/>
    </w:rPr>
  </w:style>
  <w:style w:type="paragraph" w:customStyle="1" w:styleId="Niveau3">
    <w:name w:val="Niveau 3"/>
    <w:basedOn w:val="Normal"/>
    <w:next w:val="Normal"/>
    <w:qFormat/>
    <w:rsid w:val="00DF312D"/>
    <w:pPr>
      <w:numPr>
        <w:ilvl w:val="2"/>
        <w:numId w:val="1"/>
      </w:numPr>
      <w:spacing w:before="240"/>
    </w:pPr>
    <w:rPr>
      <w:b/>
    </w:rPr>
  </w:style>
  <w:style w:type="paragraph" w:customStyle="1" w:styleId="Niveau4">
    <w:name w:val="Niveau 4"/>
    <w:basedOn w:val="Normal"/>
    <w:next w:val="Normal"/>
    <w:qFormat/>
    <w:rsid w:val="00DF312D"/>
    <w:pPr>
      <w:numPr>
        <w:ilvl w:val="3"/>
        <w:numId w:val="1"/>
      </w:numPr>
      <w:spacing w:before="240"/>
    </w:pPr>
    <w:rPr>
      <w:i/>
    </w:rPr>
  </w:style>
  <w:style w:type="paragraph" w:styleId="Listeafsnit">
    <w:name w:val="List Paragraph"/>
    <w:basedOn w:val="Normal"/>
    <w:uiPriority w:val="34"/>
    <w:rsid w:val="00DF312D"/>
    <w:pPr>
      <w:ind w:left="720"/>
      <w:contextualSpacing/>
    </w:pPr>
  </w:style>
  <w:style w:type="paragraph" w:styleId="Titel">
    <w:name w:val="Title"/>
    <w:basedOn w:val="Normal"/>
    <w:next w:val="Overskrift1"/>
    <w:link w:val="TitelTegn"/>
    <w:qFormat/>
    <w:rsid w:val="00DF312D"/>
    <w:pPr>
      <w:spacing w:after="360" w:line="360" w:lineRule="atLeast"/>
      <w:contextualSpacing/>
    </w:pPr>
    <w:rPr>
      <w:rFonts w:eastAsiaTheme="majorEastAsia" w:cstheme="majorBidi"/>
      <w:color w:val="006EB6"/>
      <w:sz w:val="30"/>
      <w:szCs w:val="52"/>
    </w:rPr>
  </w:style>
  <w:style w:type="character" w:customStyle="1" w:styleId="TitelTegn">
    <w:name w:val="Titel Tegn"/>
    <w:basedOn w:val="Standardskrifttypeiafsnit"/>
    <w:link w:val="Titel"/>
    <w:rsid w:val="00DF312D"/>
    <w:rPr>
      <w:rFonts w:ascii="Corbel" w:eastAsiaTheme="majorEastAsia" w:hAnsi="Corbel" w:cstheme="majorBidi"/>
      <w:color w:val="006EB6"/>
      <w:spacing w:val="2"/>
      <w:sz w:val="30"/>
      <w:szCs w:val="52"/>
      <w14:numForm w14:val="lining"/>
    </w:rPr>
  </w:style>
  <w:style w:type="character" w:customStyle="1" w:styleId="Overskrift1Tegn">
    <w:name w:val="Overskrift 1 Tegn"/>
    <w:basedOn w:val="Standardskrifttypeiafsnit"/>
    <w:link w:val="Overskrift1"/>
    <w:uiPriority w:val="9"/>
    <w:rsid w:val="00DF312D"/>
    <w:rPr>
      <w:rFonts w:asciiTheme="majorHAnsi" w:eastAsiaTheme="majorEastAsia" w:hAnsiTheme="majorHAnsi" w:cstheme="majorBidi"/>
      <w:color w:val="365F91" w:themeColor="accent1" w:themeShade="BF"/>
      <w:spacing w:val="2"/>
      <w:sz w:val="32"/>
      <w:szCs w:val="32"/>
      <w14:numForm w14:val="lining"/>
    </w:rPr>
  </w:style>
  <w:style w:type="paragraph" w:styleId="Sidefod">
    <w:name w:val="footer"/>
    <w:basedOn w:val="Normal"/>
    <w:link w:val="SidefodTegn"/>
    <w:uiPriority w:val="99"/>
    <w:unhideWhenUsed/>
    <w:rsid w:val="00B00C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B00C62"/>
    <w:rPr>
      <w:rFonts w:ascii="Corbel" w:eastAsia="Times New Roman" w:hAnsi="Corbel" w:cs="Times New Roman"/>
      <w:spacing w:val="2"/>
      <w:szCs w:val="20"/>
      <w14:numForm w14:val="lining"/>
    </w:rPr>
  </w:style>
  <w:style w:type="paragraph" w:styleId="Markeringsbobletekst">
    <w:name w:val="Balloon Text"/>
    <w:basedOn w:val="Normal"/>
    <w:link w:val="MarkeringsbobletekstTegn"/>
    <w:uiPriority w:val="99"/>
    <w:semiHidden/>
    <w:unhideWhenUsed/>
    <w:rsid w:val="00230168"/>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0168"/>
    <w:rPr>
      <w:rFonts w:ascii="Segoe UI" w:eastAsia="Times New Roman" w:hAnsi="Segoe UI" w:cs="Segoe UI"/>
      <w:spacing w:val="2"/>
      <w:sz w:val="18"/>
      <w:szCs w:val="18"/>
      <w14:numForm w14:val="lining"/>
    </w:rPr>
  </w:style>
  <w:style w:type="paragraph" w:styleId="Opstilling-punkttegn">
    <w:name w:val="List Bullet"/>
    <w:basedOn w:val="Normal"/>
    <w:uiPriority w:val="99"/>
    <w:semiHidden/>
    <w:unhideWhenUsed/>
    <w:rsid w:val="005E16C4"/>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3966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Kastrup</dc:creator>
  <cp:keywords/>
  <dc:description/>
  <cp:lastModifiedBy>Claus Kastrup</cp:lastModifiedBy>
  <cp:revision>3</cp:revision>
  <cp:lastPrinted>2021-11-10T09:34:00Z</cp:lastPrinted>
  <dcterms:created xsi:type="dcterms:W3CDTF">2021-11-10T12:20:00Z</dcterms:created>
  <dcterms:modified xsi:type="dcterms:W3CDTF">2021-11-10T12:20:00Z</dcterms:modified>
</cp:coreProperties>
</file>