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2D" w:rsidRPr="009956C4" w:rsidRDefault="00DF312D" w:rsidP="00DF312D">
      <w:pPr>
        <w:pStyle w:val="Titel"/>
        <w:ind w:left="567" w:right="2269"/>
        <w:rPr>
          <w:sz w:val="32"/>
          <w:szCs w:val="32"/>
        </w:rPr>
      </w:pPr>
      <w:r w:rsidRPr="009956C4">
        <w:rPr>
          <w:sz w:val="32"/>
          <w:szCs w:val="32"/>
        </w:rPr>
        <w:t xml:space="preserve">Instruks for revision af tilskud vedrørende programmer og projekter finansieret over Nordisk Ministerråds </w:t>
      </w:r>
      <w:r>
        <w:rPr>
          <w:sz w:val="32"/>
          <w:szCs w:val="32"/>
        </w:rPr>
        <w:br/>
      </w:r>
      <w:r w:rsidRPr="009956C4">
        <w:rPr>
          <w:sz w:val="32"/>
          <w:szCs w:val="32"/>
        </w:rPr>
        <w:t>budget</w:t>
      </w:r>
    </w:p>
    <w:p w:rsidR="00DF312D" w:rsidRPr="00D971C0" w:rsidRDefault="00DF312D" w:rsidP="00DF312D">
      <w:pPr>
        <w:spacing w:line="276" w:lineRule="auto"/>
        <w:ind w:left="567" w:right="2269"/>
        <w:rPr>
          <w:color w:val="4F81BD" w:themeColor="accent1"/>
        </w:rPr>
      </w:pPr>
      <w:r w:rsidRPr="00D971C0">
        <w:rPr>
          <w:color w:val="4F81BD" w:themeColor="accent1"/>
        </w:rPr>
        <w:t xml:space="preserve">Revisionsinstruks for revision af regnskaber for projekttilskud på 200.000 DKK </w:t>
      </w:r>
      <w:r w:rsidRPr="00D971C0">
        <w:rPr>
          <w:color w:val="4F81BD" w:themeColor="accent1"/>
        </w:rPr>
        <w:br/>
        <w:t>eller derover som er finansieret over Nordisk Ministerråds budget.</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Hjemlen til at give instruktioner på revisionsområdet er indeholdt i Nordisk </w:t>
      </w:r>
    </w:p>
    <w:p w:rsidR="00DF312D" w:rsidRPr="00D971C0" w:rsidRDefault="00DF312D" w:rsidP="00DF312D">
      <w:pPr>
        <w:spacing w:line="276" w:lineRule="auto"/>
        <w:ind w:left="567" w:right="2269"/>
        <w:rPr>
          <w:color w:val="4F81BD" w:themeColor="accent1"/>
        </w:rPr>
      </w:pPr>
      <w:r w:rsidRPr="00D971C0">
        <w:rPr>
          <w:color w:val="4F81BD" w:themeColor="accent1"/>
        </w:rPr>
        <w:t>Ministerråds Økonomireglement af 3. marts 2016.</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Instruksen gælder ikke for projekttilskud, der ydes til tilskudsmodtagere, som </w:t>
      </w:r>
      <w:r w:rsidRPr="00D971C0">
        <w:rPr>
          <w:color w:val="4F81BD" w:themeColor="accent1"/>
        </w:rPr>
        <w:br/>
        <w:t>revideres af de statslige rigsrevisioner i de nordiske lande.</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I det følgende benævnes Nordisk Ministerråd (NMR) som tilskudsgiver. Det </w:t>
      </w:r>
      <w:r w:rsidRPr="00D971C0">
        <w:rPr>
          <w:color w:val="4F81BD" w:themeColor="accent1"/>
        </w:rPr>
        <w:br/>
        <w:t>påhviler tilskudsmodtager (forvaltningsorganet) at gøre revisor bekendt med denne instruks.</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1.  Revisionen udføres af en statsautoriseret eller registreret revisor.</w:t>
      </w:r>
    </w:p>
    <w:p w:rsidR="00DF312D" w:rsidRPr="00D971C0" w:rsidRDefault="00DF312D" w:rsidP="00DF312D">
      <w:pPr>
        <w:spacing w:line="276" w:lineRule="auto"/>
        <w:ind w:left="567" w:right="2269"/>
        <w:rPr>
          <w:color w:val="4F81BD" w:themeColor="accent1"/>
        </w:rPr>
      </w:pPr>
      <w:r w:rsidRPr="00D971C0">
        <w:rPr>
          <w:color w:val="4F81BD" w:themeColor="accent1"/>
        </w:rPr>
        <w:t xml:space="preserve"> </w:t>
      </w:r>
    </w:p>
    <w:p w:rsidR="00DF312D" w:rsidRPr="00D971C0" w:rsidRDefault="00DF312D" w:rsidP="00DF312D">
      <w:pPr>
        <w:spacing w:line="276" w:lineRule="auto"/>
        <w:ind w:left="567" w:right="2269"/>
        <w:rPr>
          <w:color w:val="4F81BD" w:themeColor="accent1"/>
        </w:rPr>
      </w:pPr>
      <w:r w:rsidRPr="00D971C0">
        <w:rPr>
          <w:color w:val="4F81BD" w:themeColor="accent1"/>
        </w:rPr>
        <w:t xml:space="preserve">Stk.2.  I tilfælde af revisorskift i projektperioden skal den tiltrædende revisor rette henvendelse til den fratrædende revisor, der har pligt til at oplyse årsagerne til fratrædelsen. </w:t>
      </w:r>
    </w:p>
    <w:p w:rsidR="00DF312D" w:rsidRPr="00D971C0" w:rsidRDefault="00DF312D" w:rsidP="00DF312D">
      <w:pPr>
        <w:spacing w:line="276" w:lineRule="auto"/>
        <w:ind w:left="567" w:right="2269"/>
        <w:rPr>
          <w:color w:val="4F81BD" w:themeColor="accent1"/>
        </w:rPr>
      </w:pPr>
      <w:r w:rsidRPr="00D971C0">
        <w:rPr>
          <w:color w:val="4F81BD" w:themeColor="accent1"/>
        </w:rPr>
        <w:br/>
      </w:r>
      <w:r w:rsidRPr="0026459F">
        <w:rPr>
          <w:color w:val="4F81BD" w:themeColor="accent1"/>
        </w:rPr>
        <w:t xml:space="preserve">§ 2.  Revisionen foretages </w:t>
      </w:r>
      <w:r w:rsidR="00A572FB" w:rsidRPr="0026459F">
        <w:rPr>
          <w:color w:val="4F81BD" w:themeColor="accent1"/>
        </w:rPr>
        <w:t>i henhold til ISA og standarderne for offentlig revision</w:t>
      </w:r>
      <w:r w:rsidRPr="0026459F">
        <w:rPr>
          <w:color w:val="4F81BD" w:themeColor="accent1"/>
        </w:rPr>
        <w:t xml:space="preserve"> </w:t>
      </w:r>
      <w:r w:rsidR="003256FB" w:rsidRPr="0026459F">
        <w:rPr>
          <w:color w:val="4F81BD" w:themeColor="accent1"/>
        </w:rPr>
        <w:t>samt</w:t>
      </w:r>
      <w:r w:rsidRPr="0026459F">
        <w:rPr>
          <w:color w:val="4F81BD" w:themeColor="accent1"/>
        </w:rPr>
        <w:t xml:space="preserve"> nærværende revisionsinstruks.</w:t>
      </w:r>
      <w:r w:rsidRPr="00D971C0">
        <w:rPr>
          <w:color w:val="4F81BD" w:themeColor="accent1"/>
        </w:rPr>
        <w:t xml:space="preserve">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Stk. 2.  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om der er taget skyldige økonomiske hensyn ved forvaltningen af de midler, der er omfattet af projektregnskabet.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40" w:lineRule="auto"/>
        <w:rPr>
          <w:color w:val="4F81BD" w:themeColor="accent1"/>
        </w:rPr>
      </w:pPr>
      <w:r w:rsidRPr="00D971C0">
        <w:rPr>
          <w:color w:val="4F81BD" w:themeColor="accent1"/>
        </w:rPr>
        <w:br w:type="page"/>
      </w:r>
    </w:p>
    <w:p w:rsidR="00DF312D" w:rsidRPr="00D971C0" w:rsidRDefault="00DF312D" w:rsidP="00DF312D">
      <w:pPr>
        <w:spacing w:line="276" w:lineRule="auto"/>
        <w:ind w:left="567" w:right="2269"/>
        <w:rPr>
          <w:color w:val="4F81BD" w:themeColor="accent1"/>
        </w:rPr>
      </w:pPr>
      <w:r w:rsidRPr="00D971C0">
        <w:rPr>
          <w:color w:val="4F81BD" w:themeColor="accent1"/>
        </w:rPr>
        <w:lastRenderedPageBreak/>
        <w:t xml:space="preserve">§ 3.  Revisionens omfang afhænger af det tilskudsmodtagende forvaltningsorgans administrative struktur og forretningsgange, herunder den interne kontrol og andre forhold af betydning for regnskabsaflæggelsen. Desuden har tilskuddets størrelse betydning for revisionens omfang.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4.  Ved revisionen skal revisor efterprøve:</w:t>
      </w:r>
      <w:r w:rsidRPr="00D971C0">
        <w:rPr>
          <w:color w:val="4F81BD" w:themeColor="accent1"/>
        </w:rPr>
        <w:br/>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Om projektregnskabet er retvisende, dvs. uden væsentlige fejl og mangler</w:t>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 xml:space="preserve">Om tilskudsbetingelserne er opfyldt, herunder bestemmelserne i </w:t>
      </w:r>
      <w:r w:rsidRPr="00D971C0">
        <w:rPr>
          <w:color w:val="4F81BD" w:themeColor="accent1"/>
        </w:rPr>
        <w:br/>
        <w:t>projektaftalen med NMR</w:t>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Om tilskuddet er anvendt i overensstemmelse med formål og bevillingsgrundlag</w:t>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Om tilskudsmodtager har udvist sparsommelighed</w:t>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Om de oplysninger, som tilskudsmodtager har meddelt tilskudsgiver vedrørende opfyldelsen af leverancekravene i kontrakten, er dokumenterede</w:t>
      </w:r>
    </w:p>
    <w:p w:rsidR="00DF312D" w:rsidRPr="00D971C0" w:rsidRDefault="00DF312D" w:rsidP="00DF312D">
      <w:pPr>
        <w:pStyle w:val="Listeafsnit"/>
        <w:numPr>
          <w:ilvl w:val="0"/>
          <w:numId w:val="2"/>
        </w:numPr>
        <w:spacing w:line="276" w:lineRule="auto"/>
        <w:ind w:right="2269"/>
        <w:rPr>
          <w:color w:val="4F81BD" w:themeColor="accent1"/>
        </w:rPr>
      </w:pPr>
      <w:r w:rsidRPr="00D971C0">
        <w:rPr>
          <w:color w:val="4F81BD" w:themeColor="accent1"/>
        </w:rPr>
        <w:t>Om tilskudsmodtagers ledelse har foretaget en faglig afrapportering i de tilfælde, hvor tilskudsgiver har stillet krav om det, og at de data, der ligger til grund herfor, er pålidelige.</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Stk. 2.  Revisionen udføres ved stikprøvevise undersøgelser.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 5.  Tilskudsmodtager skal give revisor de oplysninger, som må anses at have betydning for bedømmelsen af regnskabet og for revisors vurdering af forvaltningen, herunder mål og opnåede resultater. Tilskudsmodtager skal give revisor adgang til at foretage de undersøgelser, som tilskudsgiver finder nødvendige og skal sørge for, at revisor får de oplysninger og den bistand, som revisor anser for nødvendig for udførelsen af sit hverv.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6.  Bliver revisor opmærksom på lovovertrædelser eller tilsidesættelser af forskrifter af væsentlig betydning i forbindelse med midlernes forvaltning, påhviler det revisor straks at give tilskudsmodtager meddelelse herom og at påse, at tilskudsmodtagers ledelse inden for 3 uger give</w:t>
      </w:r>
      <w:r w:rsidR="0073720E">
        <w:rPr>
          <w:color w:val="4F81BD" w:themeColor="accent1"/>
        </w:rPr>
        <w:t>r</w:t>
      </w:r>
      <w:r w:rsidRPr="00D971C0">
        <w:rPr>
          <w:color w:val="4F81BD" w:themeColor="accent1"/>
        </w:rPr>
        <w:t xml:space="preserve"> tilskudsgiver meddelelse herom. I modsat fald er det revisors pligt at orientere tilskudsgiver. Revisors bemærkninger indsendes sammen med meddelelsen.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Stk. 2.  Det samme gælder, hvis revisor under sin revision eller på anden måde bliver opmærksom på, at projektets gennemførsel er usikker af økonomiske eller andre årsager.</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lastRenderedPageBreak/>
        <w:t xml:space="preserve">§ 7.   Det reviderede projektregnskab forsynes med en erklæring, hvoraf det skal fremgå, at regnskabet er revideret i overensstemmelse med reglerne i denne instruks. Eventuelle forbehold og supplerende oplysninger skal fremgå af </w:t>
      </w:r>
      <w:r w:rsidRPr="00D971C0">
        <w:rPr>
          <w:color w:val="4F81BD" w:themeColor="accent1"/>
        </w:rPr>
        <w:br/>
        <w:t xml:space="preserve">erklæringen.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2A34EF">
        <w:rPr>
          <w:color w:val="4F81BD" w:themeColor="accent1"/>
        </w:rPr>
        <w:t xml:space="preserve">Stk. 2.  Revisor skal afgive en revisionsprotokol med revisors vurdering og konklusion vedrørende den udførte revision, jf.§ 4. Revisionsprotokollen kan afgives i tilslutning til erklæringen ” </w:t>
      </w:r>
      <w:r w:rsidR="00FB6B10" w:rsidRPr="002A34EF">
        <w:rPr>
          <w:color w:val="4F81BD" w:themeColor="accent1"/>
        </w:rPr>
        <w:t>Revisionspåtegning</w:t>
      </w:r>
      <w:r w:rsidRPr="002A34EF">
        <w:rPr>
          <w:color w:val="4F81BD" w:themeColor="accent1"/>
        </w:rPr>
        <w:t xml:space="preserve"> – Projektregnskab”</w:t>
      </w:r>
      <w:r w:rsidR="00FB6B10" w:rsidRPr="002A34EF">
        <w:rPr>
          <w:color w:val="4F81BD" w:themeColor="accent1"/>
        </w:rPr>
        <w:t>.</w:t>
      </w:r>
      <w:r w:rsidRPr="00D971C0">
        <w:rPr>
          <w:color w:val="4F81BD" w:themeColor="accent1"/>
        </w:rPr>
        <w:t xml:space="preserve"> </w:t>
      </w:r>
    </w:p>
    <w:p w:rsidR="00DF312D" w:rsidRPr="00D971C0" w:rsidRDefault="00DF312D" w:rsidP="00DF312D">
      <w:pPr>
        <w:spacing w:line="276" w:lineRule="auto"/>
        <w:ind w:left="567" w:right="2269"/>
        <w:rPr>
          <w:color w:val="4F81BD" w:themeColor="accent1"/>
        </w:rPr>
      </w:pPr>
    </w:p>
    <w:p w:rsidR="00DF312D" w:rsidRPr="00D971C0" w:rsidRDefault="00DF312D" w:rsidP="00DF312D">
      <w:pPr>
        <w:spacing w:line="276" w:lineRule="auto"/>
        <w:ind w:left="567" w:right="2269"/>
        <w:rPr>
          <w:color w:val="4F81BD" w:themeColor="accent1"/>
        </w:rPr>
      </w:pPr>
      <w:r w:rsidRPr="00D971C0">
        <w:rPr>
          <w:color w:val="4F81BD" w:themeColor="accent1"/>
        </w:rPr>
        <w:t xml:space="preserve">Stk. 3.  Genpart af revisionsprotokollen indsendes af tilskudsmodtager til NMR sammen med det påtegnede projektregnskab. </w:t>
      </w:r>
    </w:p>
    <w:p w:rsidR="00DF312D" w:rsidRPr="00D971C0" w:rsidRDefault="00DF312D" w:rsidP="00DF312D">
      <w:pPr>
        <w:spacing w:line="276" w:lineRule="auto"/>
        <w:ind w:left="567" w:right="2269"/>
        <w:rPr>
          <w:color w:val="4F81BD" w:themeColor="accent1"/>
        </w:rPr>
      </w:pPr>
    </w:p>
    <w:p w:rsidR="00DF312D" w:rsidRDefault="00DF312D" w:rsidP="00DF312D">
      <w:pPr>
        <w:spacing w:line="276" w:lineRule="auto"/>
        <w:ind w:left="567" w:right="2269"/>
        <w:rPr>
          <w:color w:val="4F81BD" w:themeColor="accent1"/>
        </w:rPr>
      </w:pPr>
      <w:r w:rsidRPr="0026459F">
        <w:rPr>
          <w:color w:val="4F81BD" w:themeColor="accent1"/>
        </w:rPr>
        <w:t xml:space="preserve">§ 8.   Nærværende instruks træder i kraft d. </w:t>
      </w:r>
      <w:r w:rsidR="00230168" w:rsidRPr="0026459F">
        <w:rPr>
          <w:color w:val="4F81BD" w:themeColor="accent1"/>
        </w:rPr>
        <w:t>1</w:t>
      </w:r>
      <w:r w:rsidR="00533BD2">
        <w:rPr>
          <w:color w:val="4F81BD" w:themeColor="accent1"/>
        </w:rPr>
        <w:t>0</w:t>
      </w:r>
      <w:r w:rsidRPr="0026459F">
        <w:rPr>
          <w:color w:val="4F81BD" w:themeColor="accent1"/>
        </w:rPr>
        <w:t xml:space="preserve">. </w:t>
      </w:r>
      <w:r w:rsidR="00230168" w:rsidRPr="0026459F">
        <w:rPr>
          <w:color w:val="4F81BD" w:themeColor="accent1"/>
        </w:rPr>
        <w:t>november</w:t>
      </w:r>
      <w:r w:rsidRPr="0026459F">
        <w:rPr>
          <w:color w:val="4F81BD" w:themeColor="accent1"/>
        </w:rPr>
        <w:t xml:space="preserve"> 20</w:t>
      </w:r>
      <w:r w:rsidR="00FB6B10" w:rsidRPr="0026459F">
        <w:rPr>
          <w:color w:val="4F81BD" w:themeColor="accent1"/>
        </w:rPr>
        <w:t>21</w:t>
      </w:r>
      <w:r w:rsidR="00D33A6E" w:rsidRPr="0026459F">
        <w:rPr>
          <w:color w:val="4F81BD" w:themeColor="accent1"/>
        </w:rPr>
        <w:t xml:space="preserve">. </w:t>
      </w:r>
      <w:r w:rsidRPr="00D971C0">
        <w:rPr>
          <w:color w:val="4F81BD" w:themeColor="accent1"/>
        </w:rPr>
        <w:t xml:space="preserve"> </w:t>
      </w:r>
    </w:p>
    <w:p w:rsidR="008C2274" w:rsidRDefault="008C2274" w:rsidP="00DF312D">
      <w:pPr>
        <w:spacing w:line="276" w:lineRule="auto"/>
        <w:ind w:left="567" w:right="2269"/>
        <w:rPr>
          <w:color w:val="4F81BD" w:themeColor="accent1"/>
        </w:rPr>
      </w:pPr>
    </w:p>
    <w:p w:rsidR="008C2274" w:rsidRDefault="008C2274" w:rsidP="00DF312D">
      <w:pPr>
        <w:spacing w:line="276" w:lineRule="auto"/>
        <w:ind w:left="567" w:right="2269"/>
        <w:rPr>
          <w:color w:val="4F81BD" w:themeColor="accent1"/>
        </w:rPr>
      </w:pPr>
    </w:p>
    <w:p w:rsidR="008C2274" w:rsidRDefault="008C2274" w:rsidP="00DF312D">
      <w:pPr>
        <w:spacing w:line="276" w:lineRule="auto"/>
        <w:ind w:left="567" w:right="2269"/>
        <w:rPr>
          <w:color w:val="4F81BD" w:themeColor="accent1"/>
        </w:rPr>
      </w:pPr>
    </w:p>
    <w:p w:rsidR="008C2274" w:rsidRDefault="008C2274" w:rsidP="00DF312D">
      <w:pPr>
        <w:spacing w:line="276" w:lineRule="auto"/>
        <w:ind w:left="567" w:right="2269"/>
        <w:rPr>
          <w:color w:val="4F81BD" w:themeColor="accent1"/>
        </w:rPr>
      </w:pPr>
    </w:p>
    <w:p w:rsidR="008C2274" w:rsidRDefault="008C2274" w:rsidP="00DF312D">
      <w:pPr>
        <w:spacing w:line="276" w:lineRule="auto"/>
        <w:ind w:left="567" w:right="2269"/>
        <w:rPr>
          <w:color w:val="4F81BD" w:themeColor="accent1"/>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Default="008C2274" w:rsidP="008C2274">
      <w:pPr>
        <w:pStyle w:val="Titel"/>
        <w:ind w:left="567" w:right="2269"/>
        <w:rPr>
          <w:sz w:val="32"/>
          <w:szCs w:val="32"/>
        </w:rPr>
      </w:pPr>
    </w:p>
    <w:p w:rsidR="008C2274" w:rsidRPr="008C2274" w:rsidRDefault="008C2274" w:rsidP="008C2274">
      <w:pPr>
        <w:pStyle w:val="Titel"/>
        <w:ind w:left="567" w:right="2269"/>
        <w:rPr>
          <w:sz w:val="32"/>
          <w:szCs w:val="32"/>
          <w:lang w:val="en-US"/>
        </w:rPr>
      </w:pPr>
      <w:r w:rsidRPr="008C2274">
        <w:rPr>
          <w:sz w:val="32"/>
          <w:szCs w:val="32"/>
          <w:lang w:val="en-US"/>
        </w:rPr>
        <w:lastRenderedPageBreak/>
        <w:t>Instruction for the audit of grants concerning programs and projects financed by the Nordic Council of Ministers' budget</w:t>
      </w:r>
    </w:p>
    <w:p w:rsidR="008C2274" w:rsidRPr="008C2274" w:rsidRDefault="008C2274" w:rsidP="008C2274">
      <w:pPr>
        <w:spacing w:after="200" w:line="276" w:lineRule="auto"/>
        <w:rPr>
          <w:rFonts w:eastAsiaTheme="minorHAnsi" w:cstheme="minorBidi"/>
          <w:color w:val="4F81BD" w:themeColor="accent1"/>
          <w:spacing w:val="0"/>
          <w:szCs w:val="22"/>
          <w:lang w:val="en-US"/>
          <w14:numForm w14:val="default"/>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Audit instruction for audit of financial statements for project grants of DKK 200,000 or more financed by the Nordic Council of Ministers' budget.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The authority to give instructions in the audit area is contained in the Economy Regulations of 3 March 2016 of the Nordic Council of Ministers.</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The instruction does not apply to project grants given to beneficiaries of grants that are audited by the governmental National Audit Offices in the Nordic </w:t>
      </w:r>
      <w:bookmarkStart w:id="0" w:name="_GoBack"/>
      <w:bookmarkEnd w:id="0"/>
      <w:r w:rsidRPr="008C2274">
        <w:rPr>
          <w:color w:val="4F81BD" w:themeColor="accent1"/>
          <w:lang w:val="en-US"/>
        </w:rPr>
        <w:t>countries.</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In the following, the Nordic Council of Ministers (NMR) is referred to as the grant provider. It </w:t>
      </w:r>
      <w:r w:rsidR="006A4C1F" w:rsidRPr="006A4C1F">
        <w:rPr>
          <w:color w:val="4F81BD" w:themeColor="accent1"/>
          <w:lang w:val="en-US"/>
        </w:rPr>
        <w:t>i</w:t>
      </w:r>
      <w:r w:rsidRPr="008C2274">
        <w:rPr>
          <w:color w:val="4F81BD" w:themeColor="accent1"/>
          <w:lang w:val="en-US"/>
        </w:rPr>
        <w:t>s for the beneficiary of grants (the administration body) to inform the auditor of this instruction.</w:t>
      </w:r>
    </w:p>
    <w:p w:rsidR="008C2274" w:rsidRPr="008C2274" w:rsidRDefault="008C2274" w:rsidP="008C2274">
      <w:pPr>
        <w:spacing w:after="200" w:line="276" w:lineRule="auto"/>
        <w:rPr>
          <w:rFonts w:eastAsiaTheme="minorHAnsi" w:cstheme="minorBidi"/>
          <w:color w:val="4F81BD" w:themeColor="accent1"/>
          <w:spacing w:val="0"/>
          <w:szCs w:val="22"/>
          <w:lang w:val="en-US"/>
          <w14:numForm w14:val="default"/>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1. The audit is carried out by a state-authorised public accountant or a registered public accountant.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(2) In the event of change of auditors in the project period, the incoming auditor must contact the resigning auditor who has a duty to state the reasons for the resignation.</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2. The audit is conducted according to ISA and the standards for public audit, as well as this </w:t>
      </w:r>
      <w:r w:rsidR="00775DDC" w:rsidRPr="00A96ECD">
        <w:rPr>
          <w:color w:val="4F81BD" w:themeColor="accent1"/>
          <w:lang w:val="en-US"/>
        </w:rPr>
        <w:t>in</w:t>
      </w:r>
      <w:r w:rsidR="00BF7951" w:rsidRPr="00A96ECD">
        <w:rPr>
          <w:color w:val="4F81BD" w:themeColor="accent1"/>
          <w:lang w:val="en-US"/>
        </w:rPr>
        <w:t>s</w:t>
      </w:r>
      <w:r w:rsidR="00775DDC" w:rsidRPr="00A96ECD">
        <w:rPr>
          <w:color w:val="4F81BD" w:themeColor="accent1"/>
          <w:lang w:val="en-US"/>
        </w:rPr>
        <w:t>truc</w:t>
      </w:r>
      <w:r w:rsidR="00BF7951" w:rsidRPr="00A96ECD">
        <w:rPr>
          <w:color w:val="4F81BD" w:themeColor="accent1"/>
          <w:lang w:val="en-US"/>
        </w:rPr>
        <w:t>t</w:t>
      </w:r>
      <w:r w:rsidR="00775DDC" w:rsidRPr="00A96ECD">
        <w:rPr>
          <w:color w:val="4F81BD" w:themeColor="accent1"/>
          <w:lang w:val="en-US"/>
        </w:rPr>
        <w:t>ion</w:t>
      </w:r>
      <w:r w:rsidRPr="008C2274">
        <w:rPr>
          <w:color w:val="4F81BD" w:themeColor="accent1"/>
          <w:lang w:val="en-US"/>
        </w:rPr>
        <w:t>.</w:t>
      </w:r>
    </w:p>
    <w:p w:rsidR="008C2274" w:rsidRPr="00775DDC"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(2) In the audit, it is checked if the project financial statements are correct, and if the transactions covered by the financial reporting are in compliance with the grants given, acts and other regulations and with agreements entered into and usual practice. </w:t>
      </w:r>
      <w:r w:rsidRPr="005E16C4">
        <w:rPr>
          <w:color w:val="4F81BD" w:themeColor="accent1"/>
          <w:lang w:val="en-US"/>
        </w:rPr>
        <w:t>Further, an assessment is made if due financial considerations have been made in the administration of the funds covered by the project financial statements.</w:t>
      </w:r>
    </w:p>
    <w:p w:rsidR="008C2274" w:rsidRPr="005E16C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3. The extent of the audit depends on the administrative structure and business processes of the grant receiving administrative body, including the internal </w:t>
      </w:r>
      <w:r w:rsidRPr="005E16C4">
        <w:rPr>
          <w:color w:val="4F81BD" w:themeColor="accent1"/>
          <w:lang w:val="en-US"/>
        </w:rPr>
        <w:lastRenderedPageBreak/>
        <w:t>control and other matters of importance to the financial reporting. Also, the size of the grant is of importance to the extent of the audit.</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4. In the audit, the auditor must</w:t>
      </w:r>
      <w:r w:rsidR="006A4C1F">
        <w:rPr>
          <w:color w:val="4F81BD" w:themeColor="accent1"/>
          <w:lang w:val="en-US"/>
        </w:rPr>
        <w:t xml:space="preserve"> check</w:t>
      </w:r>
      <w:r w:rsidRPr="008C2274">
        <w:rPr>
          <w:color w:val="4F81BD" w:themeColor="accent1"/>
          <w:lang w:val="en-US"/>
        </w:rPr>
        <w:t>:</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project financial statements are true, i.e. without material errors and defects,</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conditions for receiving grants are complied with, including the provisions in the project agreement with NMR,</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grant has been used in compliance with purposes and basis of the grant,</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beneficiary of grants has been economical,</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information that the beneficiary of grants has given to the grant provider about the compliance with the delivery requirements in the contract, has been documented,</w:t>
      </w:r>
    </w:p>
    <w:p w:rsidR="008C2274" w:rsidRPr="005E16C4" w:rsidRDefault="008C2274" w:rsidP="008C2274">
      <w:pPr>
        <w:pStyle w:val="Listeafsnit"/>
        <w:numPr>
          <w:ilvl w:val="0"/>
          <w:numId w:val="4"/>
        </w:numPr>
        <w:spacing w:line="276" w:lineRule="auto"/>
        <w:ind w:right="2269"/>
        <w:rPr>
          <w:color w:val="4F81BD" w:themeColor="accent1"/>
          <w:lang w:val="en-US"/>
        </w:rPr>
      </w:pPr>
      <w:r w:rsidRPr="005E16C4">
        <w:rPr>
          <w:color w:val="4F81BD" w:themeColor="accent1"/>
          <w:lang w:val="en-US"/>
        </w:rPr>
        <w:t>if the management of the beneficiary of grants has made a professional reporting in the cases where the grant provider has made a claim to that effect, and that the data forming the basis thereof is reliable</w:t>
      </w: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(2) The audit is carried out by means of random investigations. </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5E16C4">
        <w:rPr>
          <w:color w:val="4F81BD" w:themeColor="accent1"/>
          <w:lang w:val="en-US"/>
        </w:rPr>
        <w:t xml:space="preserve">5. The beneficiary of grants must provide the auditor with the information that must be deemed to be of importance to the assessment of the financial statements and to the auditor's assessment of the administration, including targets and obtained results. </w:t>
      </w:r>
      <w:r w:rsidRPr="008C2274">
        <w:rPr>
          <w:color w:val="4F81BD" w:themeColor="accent1"/>
          <w:lang w:val="en-US"/>
        </w:rPr>
        <w:t xml:space="preserve">The beneficiary of grants must give the auditor access to perform the investigations found necessary by the grant provider and must ensure that the auditor obtains the information and the assistance which the auditor considers necessary in the performance of their duty. </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8C2274">
        <w:rPr>
          <w:color w:val="4F81BD" w:themeColor="accent1"/>
          <w:lang w:val="en-US"/>
        </w:rPr>
        <w:t xml:space="preserve">6. If the auditor becomes aware of offences or disregard of regulations of material importance </w:t>
      </w:r>
      <w:r w:rsidR="006A4C1F">
        <w:rPr>
          <w:color w:val="4F81BD" w:themeColor="accent1"/>
          <w:lang w:val="en-US"/>
        </w:rPr>
        <w:t>regarding</w:t>
      </w:r>
      <w:r w:rsidRPr="008C2274">
        <w:rPr>
          <w:color w:val="4F81BD" w:themeColor="accent1"/>
          <w:lang w:val="en-US"/>
        </w:rPr>
        <w:t xml:space="preserve"> the administration of the funds, it lies with the auditor immediately to notify the beneficiary of grants thereof and to ensure that the management of the beneficiary of grants informs the grant provider within three weeks.</w:t>
      </w:r>
      <w:r w:rsidR="00377444">
        <w:rPr>
          <w:color w:val="4F81BD" w:themeColor="accent1"/>
          <w:lang w:val="en-US"/>
        </w:rPr>
        <w:t xml:space="preserve"> </w:t>
      </w:r>
      <w:r w:rsidRPr="008C2274">
        <w:rPr>
          <w:color w:val="4F81BD" w:themeColor="accent1"/>
          <w:lang w:val="en-US"/>
        </w:rPr>
        <w:t xml:space="preserve">Otherwise, it is the auditor's duty to inform the grant provider. </w:t>
      </w:r>
      <w:r w:rsidRPr="005E16C4">
        <w:rPr>
          <w:color w:val="4F81BD" w:themeColor="accent1"/>
          <w:lang w:val="en-US"/>
        </w:rPr>
        <w:t xml:space="preserve">The auditor's comments are sent together with the notification.  </w:t>
      </w:r>
    </w:p>
    <w:p w:rsidR="008C2274" w:rsidRPr="005E16C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(2) The same applies if during his audit or otherwise the auditor becomes aware that the completion of the project is uncertain for financial or other reasons.</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7. The audited project financial statements are provided with a statement from which it must appear that the financial statements have been audited in </w:t>
      </w:r>
      <w:r w:rsidRPr="008C2274">
        <w:rPr>
          <w:color w:val="4F81BD" w:themeColor="accent1"/>
          <w:lang w:val="en-US"/>
        </w:rPr>
        <w:lastRenderedPageBreak/>
        <w:t xml:space="preserve">compliance with the rules in this instruction. Any reservations and supplementary information must appear from the statement. </w:t>
      </w:r>
    </w:p>
    <w:p w:rsidR="008C2274" w:rsidRPr="008C227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AD2302">
        <w:rPr>
          <w:color w:val="4F81BD" w:themeColor="accent1"/>
          <w:lang w:val="en-US"/>
        </w:rPr>
        <w:t xml:space="preserve">(2) The auditor must give auditors' records with the auditor's assessment and conclusion concerning the audit conducted, see section 4. The auditors' </w:t>
      </w:r>
      <w:r w:rsidR="00A96ECD" w:rsidRPr="00AD2302">
        <w:rPr>
          <w:color w:val="4F81BD" w:themeColor="accent1"/>
          <w:lang w:val="en-US"/>
        </w:rPr>
        <w:t>r</w:t>
      </w:r>
      <w:r w:rsidRPr="00AD2302">
        <w:rPr>
          <w:color w:val="4F81BD" w:themeColor="accent1"/>
          <w:lang w:val="en-US"/>
        </w:rPr>
        <w:t>e</w:t>
      </w:r>
      <w:r w:rsidR="00A96ECD" w:rsidRPr="00AD2302">
        <w:rPr>
          <w:color w:val="4F81BD" w:themeColor="accent1"/>
          <w:lang w:val="en-US"/>
        </w:rPr>
        <w:t>c</w:t>
      </w:r>
      <w:r w:rsidRPr="00AD2302">
        <w:rPr>
          <w:color w:val="4F81BD" w:themeColor="accent1"/>
          <w:lang w:val="en-US"/>
        </w:rPr>
        <w:t>ords may be given in conjunction with the statement " Audit reporting - Project financial Statements"</w:t>
      </w:r>
      <w:r w:rsidR="00A96ECD" w:rsidRPr="00AD2302">
        <w:rPr>
          <w:color w:val="4F81BD" w:themeColor="accent1"/>
          <w:lang w:val="en-US"/>
        </w:rPr>
        <w:t>.</w:t>
      </w:r>
      <w:r w:rsidR="00A96ECD">
        <w:rPr>
          <w:color w:val="4F81BD" w:themeColor="accent1"/>
          <w:lang w:val="en-US"/>
        </w:rPr>
        <w:t xml:space="preserve"> </w:t>
      </w:r>
      <w:r w:rsidRPr="008C227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p>
    <w:p w:rsidR="008C2274" w:rsidRPr="005E16C4" w:rsidRDefault="008C2274" w:rsidP="008C2274">
      <w:pPr>
        <w:spacing w:line="276" w:lineRule="auto"/>
        <w:ind w:left="567" w:right="2269"/>
        <w:rPr>
          <w:color w:val="4F81BD" w:themeColor="accent1"/>
          <w:lang w:val="en-US"/>
        </w:rPr>
      </w:pPr>
      <w:r w:rsidRPr="005E16C4">
        <w:rPr>
          <w:color w:val="4F81BD" w:themeColor="accent1"/>
          <w:lang w:val="en-US"/>
        </w:rPr>
        <w:t xml:space="preserve">(3) A copy of the auditors' records is submitted by the beneficiary of grants to NMR together with the endorsed project financial statements. </w:t>
      </w:r>
    </w:p>
    <w:p w:rsidR="008C2274" w:rsidRPr="005E16C4" w:rsidRDefault="008C2274" w:rsidP="008C2274">
      <w:pPr>
        <w:spacing w:line="276" w:lineRule="auto"/>
        <w:ind w:left="567" w:right="2269"/>
        <w:rPr>
          <w:color w:val="4F81BD" w:themeColor="accent1"/>
          <w:lang w:val="en-US"/>
        </w:rPr>
      </w:pPr>
    </w:p>
    <w:p w:rsidR="008C2274" w:rsidRPr="008C2274" w:rsidRDefault="008C2274" w:rsidP="008C2274">
      <w:pPr>
        <w:spacing w:line="276" w:lineRule="auto"/>
        <w:ind w:left="567" w:right="2269"/>
        <w:rPr>
          <w:color w:val="4F81BD" w:themeColor="accent1"/>
          <w:lang w:val="en-US"/>
        </w:rPr>
      </w:pPr>
      <w:r w:rsidRPr="008C2274">
        <w:rPr>
          <w:color w:val="4F81BD" w:themeColor="accent1"/>
          <w:lang w:val="en-US"/>
        </w:rPr>
        <w:t xml:space="preserve">8. This instruction enters into force on </w:t>
      </w:r>
      <w:r>
        <w:rPr>
          <w:color w:val="4F81BD" w:themeColor="accent1"/>
          <w:lang w:val="en-US"/>
        </w:rPr>
        <w:t>November</w:t>
      </w:r>
      <w:r w:rsidRPr="008C2274">
        <w:rPr>
          <w:color w:val="4F81BD" w:themeColor="accent1"/>
          <w:lang w:val="en-US"/>
        </w:rPr>
        <w:t xml:space="preserve"> </w:t>
      </w:r>
      <w:r w:rsidR="005C01B5">
        <w:rPr>
          <w:color w:val="4F81BD" w:themeColor="accent1"/>
          <w:lang w:val="en-US"/>
        </w:rPr>
        <w:t>10</w:t>
      </w:r>
      <w:r w:rsidR="006C389E">
        <w:rPr>
          <w:color w:val="4F81BD" w:themeColor="accent1"/>
          <w:lang w:val="en-US"/>
        </w:rPr>
        <w:t xml:space="preserve">, </w:t>
      </w:r>
      <w:r>
        <w:rPr>
          <w:color w:val="4F81BD" w:themeColor="accent1"/>
          <w:lang w:val="en-US"/>
        </w:rPr>
        <w:t xml:space="preserve">2021. </w:t>
      </w:r>
      <w:r w:rsidRPr="008C2274">
        <w:rPr>
          <w:color w:val="4F81BD" w:themeColor="accent1"/>
          <w:lang w:val="en-US"/>
        </w:rPr>
        <w:t xml:space="preserve"> </w:t>
      </w:r>
    </w:p>
    <w:p w:rsidR="008C2274" w:rsidRPr="008C2274" w:rsidRDefault="008C2274" w:rsidP="008C2274">
      <w:pPr>
        <w:spacing w:line="276" w:lineRule="auto"/>
        <w:ind w:left="567" w:right="2269"/>
        <w:rPr>
          <w:color w:val="4F81BD" w:themeColor="accent1"/>
          <w:lang w:val="en-US"/>
        </w:rPr>
      </w:pPr>
    </w:p>
    <w:p w:rsidR="008C2274" w:rsidRPr="008C2274" w:rsidRDefault="008C2274" w:rsidP="00DF312D">
      <w:pPr>
        <w:spacing w:line="276" w:lineRule="auto"/>
        <w:ind w:left="567" w:right="2269"/>
        <w:rPr>
          <w:color w:val="4F81BD" w:themeColor="accent1"/>
          <w:lang w:val="en-US"/>
        </w:rPr>
      </w:pPr>
    </w:p>
    <w:p w:rsidR="00026C34" w:rsidRPr="005E16C4" w:rsidRDefault="00026C34">
      <w:pPr>
        <w:rPr>
          <w:lang w:val="en-US"/>
        </w:rPr>
      </w:pPr>
    </w:p>
    <w:sectPr w:rsidR="00026C34" w:rsidRPr="005E16C4" w:rsidSect="0069534A">
      <w:headerReference w:type="even" r:id="rId7"/>
      <w:headerReference w:type="default" r:id="rId8"/>
      <w:footerReference w:type="default" r:id="rId9"/>
      <w:headerReference w:type="first" r:id="rId10"/>
      <w:pgSz w:w="11907" w:h="16840" w:code="9"/>
      <w:pgMar w:top="2155" w:right="850" w:bottom="1276" w:left="850" w:header="96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28" w:rsidRDefault="003A5228" w:rsidP="00B00C62">
      <w:pPr>
        <w:spacing w:line="240" w:lineRule="auto"/>
      </w:pPr>
      <w:r>
        <w:separator/>
      </w:r>
    </w:p>
  </w:endnote>
  <w:endnote w:type="continuationSeparator" w:id="0">
    <w:p w:rsidR="003A5228" w:rsidRDefault="003A5228" w:rsidP="00B0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6D0AF6" w:rsidP="0036765B">
    <w:pPr>
      <w:jc w:val="right"/>
    </w:pPr>
    <w:sdt>
      <w:sdtPr>
        <w:id w:val="-1598938835"/>
        <w:docPartObj>
          <w:docPartGallery w:val="Page Numbers (Bottom of Page)"/>
          <w:docPartUnique/>
        </w:docPartObj>
      </w:sdtPr>
      <w:sdtEndPr/>
      <w:sdtContent>
        <w:r w:rsidR="003A5228">
          <w:fldChar w:fldCharType="begin"/>
        </w:r>
        <w:r w:rsidR="003A5228">
          <w:instrText xml:space="preserve"> PAGE   \* MERGEFORMAT </w:instrText>
        </w:r>
        <w:r w:rsidR="003A5228">
          <w:fldChar w:fldCharType="separate"/>
        </w:r>
        <w:r>
          <w:rPr>
            <w:noProof/>
          </w:rPr>
          <w:t>6</w:t>
        </w:r>
        <w:r w:rsidR="003A5228">
          <w:rPr>
            <w:noProof/>
          </w:rPr>
          <w:fldChar w:fldCharType="end"/>
        </w:r>
      </w:sdtContent>
    </w:sdt>
    <w:r w:rsidR="003A5228">
      <w:t xml:space="preserve"> / </w:t>
    </w:r>
    <w:r>
      <w:fldChar w:fldCharType="begin"/>
    </w:r>
    <w:r>
      <w:instrText xml:space="preserve"> NUMPAGES  \* Arabic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28" w:rsidRDefault="003A5228" w:rsidP="00B00C62">
      <w:pPr>
        <w:spacing w:line="240" w:lineRule="auto"/>
      </w:pPr>
      <w:r>
        <w:separator/>
      </w:r>
    </w:p>
  </w:footnote>
  <w:footnote w:type="continuationSeparator" w:id="0">
    <w:p w:rsidR="003A5228" w:rsidRDefault="003A5228" w:rsidP="00B0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59C" w:rsidRDefault="006D0AF6">
    <w:pPr>
      <w:pStyle w:val="Sidehoved"/>
    </w:pPr>
    <w:r>
      <w:rPr>
        <w:lang w:val="en-GB"/>
      </w:rPr>
      <w:object w:dxaOrig="1440" w:dyaOrig="1440">
        <v:group id="_x0000_s2049" style="position:absolute;margin-left:417.25pt;margin-top:21.85pt;width:144.35pt;height:72.25pt;z-index:251659264;mso-position-horizontal-relative:page;mso-position-vertical-relative:page" coordorigin="8326,437" coordsize="2887,1445" o:allowincell="f">
          <v:rect id="_x0000_s2050" style="position:absolute;left:8529;top:1258;width:2684;height:624" filled="f" stroked="f" strokeweight="0">
            <v:textbox style="mso-next-textbox:#_x0000_s2050" inset="0,0,0,0">
              <w:txbxContent>
                <w:p w:rsidR="0069059C" w:rsidRDefault="003A5228">
                  <w:pPr>
                    <w:rPr>
                      <w:sz w:val="17"/>
                    </w:rPr>
                  </w:pPr>
                  <w:r>
                    <w:rPr>
                      <w:sz w:val="17"/>
                    </w:rPr>
                    <w:t>kkk</w:t>
                  </w:r>
                </w:p>
                <w:p w:rsidR="0069059C" w:rsidRDefault="003A5228">
                  <w:pPr>
                    <w:rPr>
                      <w:sz w:val="17"/>
                    </w:rPr>
                  </w:pPr>
                  <w:r>
                    <w:rPr>
                      <w:sz w:val="17"/>
                    </w:rPr>
                    <w:t>Info.ingredients@danisco.com</w:t>
                  </w:r>
                </w:p>
                <w:p w:rsidR="0069059C" w:rsidRDefault="003A5228">
                  <w:pPr>
                    <w:rPr>
                      <w:color w:val="000080"/>
                      <w:sz w:val="14"/>
                    </w:rPr>
                  </w:pPr>
                  <w:r>
                    <w:rPr>
                      <w:sz w:val="17"/>
                    </w:rPr>
                    <w:t>www.danisco.com/ingredients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326;top:437;width:2816;height:566" fillcolor="window">
            <v:imagedata r:id="rId1" o:title=""/>
          </v:shape>
          <w10:wrap type="topAndBottom" anchorx="page" anchory="page"/>
        </v:group>
        <o:OLEObject Type="Embed" ProgID="Word.Picture.8" ShapeID="_x0000_s2051" DrawAspect="Content" ObjectID="_169805549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4A0" w:firstRow="1" w:lastRow="0" w:firstColumn="1" w:lastColumn="0" w:noHBand="0" w:noVBand="1"/>
    </w:tblPr>
    <w:tblGrid>
      <w:gridCol w:w="397"/>
    </w:tblGrid>
    <w:tr w:rsidR="0069059C" w:rsidTr="00FC2F2A">
      <w:trPr>
        <w:cantSplit/>
        <w:trHeight w:hRule="exact" w:val="397"/>
        <w:jc w:val="right"/>
      </w:trPr>
      <w:tc>
        <w:tcPr>
          <w:tcW w:w="397" w:type="dxa"/>
        </w:tcPr>
        <w:p w:rsidR="0069059C" w:rsidRPr="00677A2B" w:rsidRDefault="003A5228" w:rsidP="00677A2B">
          <w:pPr>
            <w:jc w:val="right"/>
          </w:pPr>
          <w:bookmarkStart w:id="1" w:name="LogoSecondPage" w:colFirst="0" w:colLast="0"/>
          <w:r>
            <w:rPr>
              <w:noProof/>
              <w:lang w:eastAsia="da-DK"/>
              <w14:numForm w14:val="default"/>
            </w:rPr>
            <w:drawing>
              <wp:inline distT="0" distB="0" distL="0" distR="0" wp14:anchorId="18930FD3" wp14:editId="5CD2C9FF">
                <wp:extent cx="252095" cy="25209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095" cy="252095"/>
                        </a:xfrm>
                        <a:prstGeom prst="rect">
                          <a:avLst/>
                        </a:prstGeom>
                      </pic:spPr>
                    </pic:pic>
                  </a:graphicData>
                </a:graphic>
              </wp:inline>
            </w:drawing>
          </w:r>
        </w:p>
      </w:tc>
    </w:tr>
    <w:bookmarkEnd w:id="1"/>
  </w:tbl>
  <w:p w:rsidR="0069059C" w:rsidRDefault="006D0AF6" w:rsidP="00677A2B">
    <w:pPr>
      <w:pStyle w:val="Sidehoved"/>
      <w:spacing w:after="5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454" w:type="dxa"/>
      <w:tblLayout w:type="fixed"/>
      <w:tblCellMar>
        <w:left w:w="0" w:type="dxa"/>
        <w:right w:w="0" w:type="dxa"/>
      </w:tblCellMar>
      <w:tblLook w:val="04A0" w:firstRow="1" w:lastRow="0" w:firstColumn="1" w:lastColumn="0" w:noHBand="0" w:noVBand="1"/>
    </w:tblPr>
    <w:tblGrid>
      <w:gridCol w:w="5159"/>
      <w:gridCol w:w="4452"/>
    </w:tblGrid>
    <w:tr w:rsidR="0069059C" w:rsidTr="009956C4">
      <w:trPr>
        <w:cantSplit/>
      </w:trPr>
      <w:tc>
        <w:tcPr>
          <w:tcW w:w="5159" w:type="dxa"/>
        </w:tcPr>
        <w:p w:rsidR="0069059C" w:rsidRPr="00333A85" w:rsidRDefault="006D0AF6" w:rsidP="00C44653">
          <w:pPr>
            <w:pStyle w:val="Niveau1"/>
            <w:numPr>
              <w:ilvl w:val="0"/>
              <w:numId w:val="0"/>
            </w:numPr>
            <w:ind w:left="454" w:hanging="454"/>
            <w:rPr>
              <w:sz w:val="20"/>
            </w:rPr>
          </w:pPr>
          <w:bookmarkStart w:id="2" w:name="LogoFirstPage" w:colFirst="1" w:colLast="1"/>
          <w:r>
            <w:rPr>
              <w:sz w:val="20"/>
            </w:rPr>
            <w:t>10</w:t>
          </w:r>
          <w:r w:rsidR="00B00C62">
            <w:rPr>
              <w:sz w:val="20"/>
            </w:rPr>
            <w:t xml:space="preserve"> </w:t>
          </w:r>
          <w:r>
            <w:rPr>
              <w:sz w:val="20"/>
            </w:rPr>
            <w:t xml:space="preserve">november </w:t>
          </w:r>
          <w:r w:rsidR="00B00C62">
            <w:rPr>
              <w:sz w:val="20"/>
            </w:rPr>
            <w:t>2021</w:t>
          </w:r>
        </w:p>
      </w:tc>
      <w:tc>
        <w:tcPr>
          <w:tcW w:w="4452" w:type="dxa"/>
        </w:tcPr>
        <w:p w:rsidR="0069059C" w:rsidRDefault="003A5228" w:rsidP="00EF525F">
          <w:pPr>
            <w:pStyle w:val="Sidehoved"/>
            <w:jc w:val="right"/>
          </w:pPr>
          <w:r>
            <w:rPr>
              <w:lang w:eastAsia="da-DK"/>
              <w14:numForm w14:val="default"/>
            </w:rPr>
            <w:drawing>
              <wp:inline distT="0" distB="0" distL="0" distR="0" wp14:anchorId="1D9C2C42" wp14:editId="0B5A93AE">
                <wp:extent cx="1374648" cy="390144"/>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p w:rsidR="0069059C" w:rsidRPr="00B56BC5" w:rsidRDefault="006D0AF6" w:rsidP="00277823">
    <w:pPr>
      <w:pStyle w:val="Sidehoved"/>
      <w:spacing w:after="1100"/>
      <w:rPr>
        <w:lang w:val="en-US"/>
      </w:rPr>
    </w:pPr>
    <w:bookmarkStart w:id="3" w:name="LetterheadCompany"/>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6C2E1C"/>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812542F"/>
    <w:multiLevelType w:val="multilevel"/>
    <w:tmpl w:val="80860B7E"/>
    <w:lvl w:ilvl="0">
      <w:start w:val="1"/>
      <w:numFmt w:val="decimal"/>
      <w:pStyle w:val="Niveau1"/>
      <w:lvlText w:val="%1."/>
      <w:lvlJc w:val="left"/>
      <w:pPr>
        <w:tabs>
          <w:tab w:val="num" w:pos="454"/>
        </w:tabs>
        <w:ind w:left="454" w:hanging="454"/>
      </w:pPr>
      <w:rPr>
        <w:rFonts w:hint="default"/>
      </w:rPr>
    </w:lvl>
    <w:lvl w:ilvl="1">
      <w:start w:val="1"/>
      <w:numFmt w:val="decimal"/>
      <w:pStyle w:val="Niveau2"/>
      <w:lvlText w:val="%1.%2"/>
      <w:lvlJc w:val="left"/>
      <w:pPr>
        <w:tabs>
          <w:tab w:val="num" w:pos="567"/>
        </w:tabs>
        <w:ind w:left="567" w:hanging="567"/>
      </w:pPr>
      <w:rPr>
        <w:rFonts w:hint="default"/>
      </w:rPr>
    </w:lvl>
    <w:lvl w:ilvl="2">
      <w:start w:val="1"/>
      <w:numFmt w:val="decimal"/>
      <w:pStyle w:val="Niveau3"/>
      <w:lvlText w:val="%1.%2.%3"/>
      <w:lvlJc w:val="left"/>
      <w:pPr>
        <w:tabs>
          <w:tab w:val="num" w:pos="737"/>
        </w:tabs>
        <w:ind w:left="737" w:hanging="737"/>
      </w:pPr>
      <w:rPr>
        <w:rFonts w:hint="default"/>
      </w:rPr>
    </w:lvl>
    <w:lvl w:ilvl="3">
      <w:start w:val="1"/>
      <w:numFmt w:val="decimal"/>
      <w:pStyle w:val="Niveau4"/>
      <w:lvlText w:val="%1.%2.%3.%4"/>
      <w:lvlJc w:val="left"/>
      <w:pPr>
        <w:tabs>
          <w:tab w:val="num" w:pos="907"/>
        </w:tabs>
        <w:ind w:left="907" w:hanging="907"/>
      </w:pPr>
      <w:rPr>
        <w:rFonts w:hint="default"/>
      </w:rPr>
    </w:lvl>
    <w:lvl w:ilvl="4">
      <w:start w:val="1"/>
      <w:numFmt w:val="none"/>
      <w:lvlText w:val=""/>
      <w:lvlJc w:val="left"/>
      <w:pPr>
        <w:tabs>
          <w:tab w:val="num" w:pos="1188"/>
        </w:tabs>
        <w:ind w:left="1188" w:hanging="1008"/>
      </w:pPr>
      <w:rPr>
        <w:rFonts w:hint="default"/>
      </w:rPr>
    </w:lvl>
    <w:lvl w:ilvl="5">
      <w:start w:val="1"/>
      <w:numFmt w:val="none"/>
      <w:lvlText w:val=""/>
      <w:lvlJc w:val="left"/>
      <w:pPr>
        <w:tabs>
          <w:tab w:val="num" w:pos="1332"/>
        </w:tabs>
        <w:ind w:left="1332" w:hanging="1152"/>
      </w:pPr>
      <w:rPr>
        <w:rFonts w:hint="default"/>
      </w:rPr>
    </w:lvl>
    <w:lvl w:ilvl="6">
      <w:start w:val="1"/>
      <w:numFmt w:val="none"/>
      <w:lvlText w:val=""/>
      <w:lvlJc w:val="left"/>
      <w:pPr>
        <w:tabs>
          <w:tab w:val="num" w:pos="1476"/>
        </w:tabs>
        <w:ind w:left="1476" w:hanging="1296"/>
      </w:pPr>
      <w:rPr>
        <w:rFonts w:hint="default"/>
      </w:rPr>
    </w:lvl>
    <w:lvl w:ilvl="7">
      <w:start w:val="1"/>
      <w:numFmt w:val="none"/>
      <w:lvlText w:val=""/>
      <w:lvlJc w:val="left"/>
      <w:pPr>
        <w:tabs>
          <w:tab w:val="num" w:pos="1620"/>
        </w:tabs>
        <w:ind w:left="1620" w:hanging="1440"/>
      </w:pPr>
      <w:rPr>
        <w:rFonts w:hint="default"/>
      </w:rPr>
    </w:lvl>
    <w:lvl w:ilvl="8">
      <w:start w:val="1"/>
      <w:numFmt w:val="none"/>
      <w:lvlText w:val=""/>
      <w:lvlJc w:val="left"/>
      <w:pPr>
        <w:tabs>
          <w:tab w:val="num" w:pos="1764"/>
        </w:tabs>
        <w:ind w:left="1764" w:hanging="1584"/>
      </w:pPr>
      <w:rPr>
        <w:rFonts w:hint="default"/>
      </w:rPr>
    </w:lvl>
  </w:abstractNum>
  <w:abstractNum w:abstractNumId="2" w15:restartNumberingAfterBreak="0">
    <w:nsid w:val="146C289E"/>
    <w:multiLevelType w:val="hybridMultilevel"/>
    <w:tmpl w:val="F89E8B5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246D98"/>
    <w:multiLevelType w:val="hybridMultilevel"/>
    <w:tmpl w:val="E33CF4F0"/>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 w15:restartNumberingAfterBreak="0">
    <w:nsid w:val="737361BF"/>
    <w:multiLevelType w:val="hybridMultilevel"/>
    <w:tmpl w:val="3EBC303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2D"/>
    <w:rsid w:val="00020148"/>
    <w:rsid w:val="00026C34"/>
    <w:rsid w:val="00037CF9"/>
    <w:rsid w:val="00155F26"/>
    <w:rsid w:val="001D7F69"/>
    <w:rsid w:val="00230168"/>
    <w:rsid w:val="0026459F"/>
    <w:rsid w:val="002A34EF"/>
    <w:rsid w:val="002B3C97"/>
    <w:rsid w:val="002E2872"/>
    <w:rsid w:val="003256FB"/>
    <w:rsid w:val="00365E66"/>
    <w:rsid w:val="00377444"/>
    <w:rsid w:val="00381EE4"/>
    <w:rsid w:val="003A5228"/>
    <w:rsid w:val="004D0F81"/>
    <w:rsid w:val="00524FB5"/>
    <w:rsid w:val="00533BD2"/>
    <w:rsid w:val="005C01B5"/>
    <w:rsid w:val="005E16C4"/>
    <w:rsid w:val="00665735"/>
    <w:rsid w:val="006702C2"/>
    <w:rsid w:val="006A0D8A"/>
    <w:rsid w:val="006A4C1F"/>
    <w:rsid w:val="006C389E"/>
    <w:rsid w:val="006D0AF6"/>
    <w:rsid w:val="0073720E"/>
    <w:rsid w:val="00741EC7"/>
    <w:rsid w:val="00775DDC"/>
    <w:rsid w:val="00805752"/>
    <w:rsid w:val="008C2274"/>
    <w:rsid w:val="009D712E"/>
    <w:rsid w:val="00A06404"/>
    <w:rsid w:val="00A572FB"/>
    <w:rsid w:val="00A96ECD"/>
    <w:rsid w:val="00AD2302"/>
    <w:rsid w:val="00B00C62"/>
    <w:rsid w:val="00B5702A"/>
    <w:rsid w:val="00BE5E68"/>
    <w:rsid w:val="00BF7951"/>
    <w:rsid w:val="00D33A6E"/>
    <w:rsid w:val="00DF312D"/>
    <w:rsid w:val="00EF6CD9"/>
    <w:rsid w:val="00F0632E"/>
    <w:rsid w:val="00F61A30"/>
    <w:rsid w:val="00F6478D"/>
    <w:rsid w:val="00FB6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BE7272"/>
  <w15:chartTrackingRefBased/>
  <w15:docId w15:val="{E6C31486-FF30-4C37-9519-906BD6B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12D"/>
    <w:pPr>
      <w:spacing w:after="0" w:line="280" w:lineRule="atLeast"/>
    </w:pPr>
    <w:rPr>
      <w:rFonts w:ascii="Corbel" w:eastAsia="Times New Roman" w:hAnsi="Corbel" w:cs="Times New Roman"/>
      <w:spacing w:val="2"/>
      <w:szCs w:val="20"/>
      <w14:numForm w14:val="lining"/>
    </w:rPr>
  </w:style>
  <w:style w:type="paragraph" w:styleId="Overskrift1">
    <w:name w:val="heading 1"/>
    <w:basedOn w:val="Normal"/>
    <w:next w:val="Normal"/>
    <w:link w:val="Overskrift1Tegn"/>
    <w:uiPriority w:val="9"/>
    <w:qFormat/>
    <w:rsid w:val="00DF31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F312D"/>
    <w:pPr>
      <w:tabs>
        <w:tab w:val="center" w:pos="4819"/>
        <w:tab w:val="right" w:pos="9638"/>
      </w:tabs>
    </w:pPr>
    <w:rPr>
      <w:noProof/>
      <w:sz w:val="16"/>
    </w:rPr>
  </w:style>
  <w:style w:type="character" w:customStyle="1" w:styleId="SidehovedTegn">
    <w:name w:val="Sidehoved Tegn"/>
    <w:basedOn w:val="Standardskrifttypeiafsnit"/>
    <w:link w:val="Sidehoved"/>
    <w:rsid w:val="00DF312D"/>
    <w:rPr>
      <w:rFonts w:ascii="Corbel" w:eastAsia="Times New Roman" w:hAnsi="Corbel" w:cs="Times New Roman"/>
      <w:noProof/>
      <w:spacing w:val="2"/>
      <w:sz w:val="16"/>
      <w:szCs w:val="20"/>
      <w14:numForm w14:val="lining"/>
    </w:rPr>
  </w:style>
  <w:style w:type="paragraph" w:customStyle="1" w:styleId="Niveau1">
    <w:name w:val="Niveau 1"/>
    <w:basedOn w:val="Overskrift1"/>
    <w:next w:val="Normal"/>
    <w:qFormat/>
    <w:rsid w:val="00DF312D"/>
    <w:pPr>
      <w:keepLines w:val="0"/>
      <w:numPr>
        <w:numId w:val="1"/>
      </w:numPr>
      <w:tabs>
        <w:tab w:val="clear" w:pos="454"/>
        <w:tab w:val="num" w:pos="360"/>
      </w:tabs>
      <w:suppressAutoHyphens/>
      <w:spacing w:before="0" w:line="300" w:lineRule="atLeast"/>
      <w:ind w:left="0" w:firstLine="0"/>
    </w:pPr>
    <w:rPr>
      <w:rFonts w:ascii="Corbel" w:eastAsia="Times New Roman" w:hAnsi="Corbel" w:cs="Times New Roman"/>
      <w:b/>
      <w:color w:val="auto"/>
      <w:sz w:val="24"/>
      <w:szCs w:val="20"/>
    </w:rPr>
  </w:style>
  <w:style w:type="paragraph" w:customStyle="1" w:styleId="Niveau2">
    <w:name w:val="Niveau 2"/>
    <w:basedOn w:val="Normal"/>
    <w:next w:val="Normal"/>
    <w:qFormat/>
    <w:rsid w:val="00DF312D"/>
    <w:pPr>
      <w:numPr>
        <w:ilvl w:val="1"/>
        <w:numId w:val="1"/>
      </w:numPr>
      <w:spacing w:before="400" w:after="200"/>
    </w:pPr>
    <w:rPr>
      <w:b/>
    </w:rPr>
  </w:style>
  <w:style w:type="paragraph" w:customStyle="1" w:styleId="Niveau3">
    <w:name w:val="Niveau 3"/>
    <w:basedOn w:val="Normal"/>
    <w:next w:val="Normal"/>
    <w:qFormat/>
    <w:rsid w:val="00DF312D"/>
    <w:pPr>
      <w:numPr>
        <w:ilvl w:val="2"/>
        <w:numId w:val="1"/>
      </w:numPr>
      <w:spacing w:before="240"/>
    </w:pPr>
    <w:rPr>
      <w:b/>
    </w:rPr>
  </w:style>
  <w:style w:type="paragraph" w:customStyle="1" w:styleId="Niveau4">
    <w:name w:val="Niveau 4"/>
    <w:basedOn w:val="Normal"/>
    <w:next w:val="Normal"/>
    <w:qFormat/>
    <w:rsid w:val="00DF312D"/>
    <w:pPr>
      <w:numPr>
        <w:ilvl w:val="3"/>
        <w:numId w:val="1"/>
      </w:numPr>
      <w:spacing w:before="240"/>
    </w:pPr>
    <w:rPr>
      <w:i/>
    </w:rPr>
  </w:style>
  <w:style w:type="paragraph" w:styleId="Listeafsnit">
    <w:name w:val="List Paragraph"/>
    <w:basedOn w:val="Normal"/>
    <w:uiPriority w:val="34"/>
    <w:rsid w:val="00DF312D"/>
    <w:pPr>
      <w:ind w:left="720"/>
      <w:contextualSpacing/>
    </w:pPr>
  </w:style>
  <w:style w:type="paragraph" w:styleId="Titel">
    <w:name w:val="Title"/>
    <w:basedOn w:val="Normal"/>
    <w:next w:val="Overskrift1"/>
    <w:link w:val="TitelTegn"/>
    <w:qFormat/>
    <w:rsid w:val="00DF312D"/>
    <w:pPr>
      <w:spacing w:after="360" w:line="360" w:lineRule="atLeast"/>
      <w:contextualSpacing/>
    </w:pPr>
    <w:rPr>
      <w:rFonts w:eastAsiaTheme="majorEastAsia" w:cstheme="majorBidi"/>
      <w:color w:val="006EB6"/>
      <w:sz w:val="30"/>
      <w:szCs w:val="52"/>
    </w:rPr>
  </w:style>
  <w:style w:type="character" w:customStyle="1" w:styleId="TitelTegn">
    <w:name w:val="Titel Tegn"/>
    <w:basedOn w:val="Standardskrifttypeiafsnit"/>
    <w:link w:val="Titel"/>
    <w:rsid w:val="00DF312D"/>
    <w:rPr>
      <w:rFonts w:ascii="Corbel" w:eastAsiaTheme="majorEastAsia" w:hAnsi="Corbel" w:cstheme="majorBidi"/>
      <w:color w:val="006EB6"/>
      <w:spacing w:val="2"/>
      <w:sz w:val="30"/>
      <w:szCs w:val="52"/>
      <w14:numForm w14:val="lining"/>
    </w:rPr>
  </w:style>
  <w:style w:type="character" w:customStyle="1" w:styleId="Overskrift1Tegn">
    <w:name w:val="Overskrift 1 Tegn"/>
    <w:basedOn w:val="Standardskrifttypeiafsnit"/>
    <w:link w:val="Overskrift1"/>
    <w:uiPriority w:val="9"/>
    <w:rsid w:val="00DF312D"/>
    <w:rPr>
      <w:rFonts w:asciiTheme="majorHAnsi" w:eastAsiaTheme="majorEastAsia" w:hAnsiTheme="majorHAnsi" w:cstheme="majorBidi"/>
      <w:color w:val="365F91" w:themeColor="accent1" w:themeShade="BF"/>
      <w:spacing w:val="2"/>
      <w:sz w:val="32"/>
      <w:szCs w:val="32"/>
      <w14:numForm w14:val="lining"/>
    </w:rPr>
  </w:style>
  <w:style w:type="paragraph" w:styleId="Sidefod">
    <w:name w:val="footer"/>
    <w:basedOn w:val="Normal"/>
    <w:link w:val="SidefodTegn"/>
    <w:uiPriority w:val="99"/>
    <w:unhideWhenUsed/>
    <w:rsid w:val="00B00C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B00C62"/>
    <w:rPr>
      <w:rFonts w:ascii="Corbel" w:eastAsia="Times New Roman" w:hAnsi="Corbel" w:cs="Times New Roman"/>
      <w:spacing w:val="2"/>
      <w:szCs w:val="20"/>
      <w14:numForm w14:val="lining"/>
    </w:rPr>
  </w:style>
  <w:style w:type="paragraph" w:styleId="Markeringsbobletekst">
    <w:name w:val="Balloon Text"/>
    <w:basedOn w:val="Normal"/>
    <w:link w:val="MarkeringsbobletekstTegn"/>
    <w:uiPriority w:val="99"/>
    <w:semiHidden/>
    <w:unhideWhenUsed/>
    <w:rsid w:val="0023016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0168"/>
    <w:rPr>
      <w:rFonts w:ascii="Segoe UI" w:eastAsia="Times New Roman" w:hAnsi="Segoe UI" w:cs="Segoe UI"/>
      <w:spacing w:val="2"/>
      <w:sz w:val="18"/>
      <w:szCs w:val="18"/>
      <w14:numForm w14:val="lining"/>
    </w:rPr>
  </w:style>
  <w:style w:type="paragraph" w:styleId="Opstilling-punkttegn">
    <w:name w:val="List Bullet"/>
    <w:basedOn w:val="Normal"/>
    <w:uiPriority w:val="99"/>
    <w:semiHidden/>
    <w:unhideWhenUsed/>
    <w:rsid w:val="005E16C4"/>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Kastrup</dc:creator>
  <cp:keywords/>
  <dc:description/>
  <cp:lastModifiedBy>Claus Kastrup</cp:lastModifiedBy>
  <cp:revision>6</cp:revision>
  <cp:lastPrinted>2021-11-10T09:34:00Z</cp:lastPrinted>
  <dcterms:created xsi:type="dcterms:W3CDTF">2021-11-10T09:59:00Z</dcterms:created>
  <dcterms:modified xsi:type="dcterms:W3CDTF">2021-11-10T12:18:00Z</dcterms:modified>
</cp:coreProperties>
</file>